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064209957"/>
        <w:docPartObj>
          <w:docPartGallery w:val="Cover Pages"/>
          <w:docPartUnique/>
        </w:docPartObj>
      </w:sdtPr>
      <w:sdtEndPr/>
      <w:sdtContent>
        <w:bookmarkStart w:id="0" w:name="_Toc413845696" w:displacedByCustomXml="prev"/>
        <w:bookmarkStart w:id="1" w:name="_Toc381186043" w:displacedByCustomXml="prev"/>
        <w:p w14:paraId="4C84208C" w14:textId="23ACE74B" w:rsidR="004C315D" w:rsidRPr="002D47A5" w:rsidRDefault="00A87A16" w:rsidP="002D47A5">
          <w:pPr>
            <w:rPr>
              <w:rStyle w:val="Heading1Char"/>
            </w:rPr>
          </w:pPr>
          <w:r>
            <w:rPr>
              <w:rStyle w:val="Heading1Char"/>
            </w:rPr>
            <w:t>Monthly Value</w:t>
          </w:r>
          <w:r w:rsidR="002D47A5" w:rsidRPr="002D47A5">
            <w:rPr>
              <w:rStyle w:val="Heading1Char"/>
            </w:rPr>
            <w:t xml:space="preserve"> </w:t>
          </w:r>
          <w:r w:rsidR="002D47A5">
            <w:rPr>
              <w:rStyle w:val="Heading1Char"/>
            </w:rPr>
            <w:t>Checklist</w:t>
          </w:r>
        </w:p>
        <w:p w14:paraId="16AE320E" w14:textId="77777777" w:rsidR="002D47A5" w:rsidRDefault="00CF43B7" w:rsidP="00AD30A3">
          <w:pPr>
            <w:spacing w:before="0" w:after="160"/>
          </w:pPr>
        </w:p>
      </w:sdtContent>
    </w:sdt>
    <w:bookmarkEnd w:id="0" w:displacedByCustomXml="prev"/>
    <w:bookmarkEnd w:id="1" w:displacedByCustomXml="prev"/>
    <w:tbl>
      <w:tblPr>
        <w:tblStyle w:val="TableGrid"/>
        <w:tblW w:w="0" w:type="auto"/>
        <w:jc w:val="center"/>
        <w:tblBorders>
          <w:top w:val="single" w:sz="4" w:space="0" w:color="828282"/>
          <w:left w:val="single" w:sz="4" w:space="0" w:color="828282"/>
          <w:bottom w:val="single" w:sz="4" w:space="0" w:color="828282"/>
          <w:right w:val="single" w:sz="4" w:space="0" w:color="828282"/>
          <w:insideH w:val="single" w:sz="4" w:space="0" w:color="828282"/>
          <w:insideV w:val="single" w:sz="4" w:space="0" w:color="828282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760"/>
        <w:gridCol w:w="1980"/>
        <w:gridCol w:w="1075"/>
      </w:tblGrid>
      <w:tr w:rsidR="009B0A0F" w:rsidRPr="004C4191" w14:paraId="0285114E" w14:textId="77777777" w:rsidTr="00CA1862">
        <w:trPr>
          <w:cantSplit/>
          <w:trHeight w:val="20"/>
          <w:tblHeader/>
          <w:jc w:val="center"/>
        </w:trPr>
        <w:tc>
          <w:tcPr>
            <w:tcW w:w="9350" w:type="dxa"/>
            <w:gridSpan w:val="4"/>
            <w:shd w:val="clear" w:color="auto" w:fill="404040" w:themeFill="text1" w:themeFillTint="BF"/>
            <w:vAlign w:val="center"/>
          </w:tcPr>
          <w:p w14:paraId="0B34C563" w14:textId="6D9B47CC" w:rsidR="009B0A0F" w:rsidRPr="00CA1862" w:rsidRDefault="004C4191" w:rsidP="004C4191">
            <w:pPr>
              <w:pStyle w:val="TableHeading1"/>
              <w:jc w:val="left"/>
              <w:rPr>
                <w:b/>
                <w:color w:val="FFFFFF" w:themeColor="background1"/>
                <w:spacing w:val="20"/>
              </w:rPr>
            </w:pPr>
            <w:r w:rsidRPr="00CA1862">
              <w:rPr>
                <w:b/>
                <w:color w:val="FFFFFF" w:themeColor="background1"/>
                <w:spacing w:val="20"/>
              </w:rPr>
              <w:t xml:space="preserve">Complete </w:t>
            </w:r>
            <w:r w:rsidR="009B0A0F" w:rsidRPr="00CA1862">
              <w:rPr>
                <w:b/>
                <w:color w:val="FFFFFF" w:themeColor="background1"/>
                <w:spacing w:val="20"/>
              </w:rPr>
              <w:t>dIRECTLY aFTER tRANSMITTAL</w:t>
            </w:r>
          </w:p>
        </w:tc>
      </w:tr>
      <w:tr w:rsidR="00A313EC" w:rsidRPr="00370491" w14:paraId="2DF54387" w14:textId="16433EC6" w:rsidTr="00267AB2">
        <w:trPr>
          <w:cantSplit/>
          <w:trHeight w:val="20"/>
          <w:tblHeader/>
          <w:jc w:val="center"/>
        </w:trPr>
        <w:tc>
          <w:tcPr>
            <w:tcW w:w="535" w:type="dxa"/>
            <w:shd w:val="clear" w:color="auto" w:fill="EBEBEB"/>
            <w:vAlign w:val="center"/>
          </w:tcPr>
          <w:p w14:paraId="430AFC57" w14:textId="70C9087F" w:rsidR="002D47A5" w:rsidRPr="00CB64C0" w:rsidRDefault="002D47A5" w:rsidP="00CB64C0">
            <w:pPr>
              <w:pStyle w:val="TableHeading1"/>
              <w:rPr>
                <w:color w:val="B50101"/>
                <w:sz w:val="28"/>
                <w:szCs w:val="28"/>
              </w:rPr>
            </w:pPr>
            <w:r w:rsidRPr="00CB64C0">
              <w:rPr>
                <w:color w:val="B50101"/>
                <w:sz w:val="28"/>
                <w:szCs w:val="28"/>
              </w:rPr>
              <w:t>#</w:t>
            </w:r>
          </w:p>
        </w:tc>
        <w:tc>
          <w:tcPr>
            <w:tcW w:w="5760" w:type="dxa"/>
            <w:shd w:val="clear" w:color="auto" w:fill="EBEBEB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F883D4" w14:textId="3A53FC83" w:rsidR="002D47A5" w:rsidRPr="00370491" w:rsidRDefault="002D47A5" w:rsidP="00A73E54">
            <w:pPr>
              <w:pStyle w:val="TableHeading1"/>
            </w:pPr>
            <w:r>
              <w:t>Task/Step</w:t>
            </w:r>
          </w:p>
        </w:tc>
        <w:tc>
          <w:tcPr>
            <w:tcW w:w="1980" w:type="dxa"/>
            <w:shd w:val="clear" w:color="auto" w:fill="EBEBEB"/>
            <w:vAlign w:val="center"/>
          </w:tcPr>
          <w:p w14:paraId="0EE623BA" w14:textId="2217ECDC" w:rsidR="002D47A5" w:rsidRPr="00370491" w:rsidRDefault="00CF5CF7" w:rsidP="00267AB2">
            <w:pPr>
              <w:pStyle w:val="TableHeading1"/>
            </w:pPr>
            <w:r>
              <w:t>TooL(s)</w:t>
            </w:r>
          </w:p>
        </w:tc>
        <w:tc>
          <w:tcPr>
            <w:tcW w:w="1075" w:type="dxa"/>
            <w:shd w:val="clear" w:color="auto" w:fill="EBEBEB"/>
            <w:vAlign w:val="center"/>
          </w:tcPr>
          <w:p w14:paraId="2CCBF046" w14:textId="2DE07E31" w:rsidR="002D47A5" w:rsidRPr="00370491" w:rsidRDefault="00A313EC" w:rsidP="002D47A5">
            <w:pPr>
              <w:pStyle w:val="TableHeading1"/>
            </w:pPr>
            <w:r>
              <w:t>Done</w:t>
            </w:r>
          </w:p>
        </w:tc>
      </w:tr>
      <w:tr w:rsidR="00874C17" w:rsidRPr="00370491" w14:paraId="5B956809" w14:textId="77777777" w:rsidTr="00267AB2">
        <w:trPr>
          <w:cantSplit/>
          <w:trHeight w:val="595"/>
          <w:jc w:val="center"/>
        </w:trPr>
        <w:tc>
          <w:tcPr>
            <w:tcW w:w="535" w:type="dxa"/>
            <w:vAlign w:val="center"/>
          </w:tcPr>
          <w:p w14:paraId="6C30F84C" w14:textId="77777777" w:rsidR="00874C17" w:rsidRPr="00CB64C0" w:rsidRDefault="00874C17" w:rsidP="00CB64C0">
            <w:pPr>
              <w:pStyle w:val="TableText"/>
              <w:numPr>
                <w:ilvl w:val="0"/>
                <w:numId w:val="43"/>
              </w:numPr>
              <w:ind w:left="0" w:firstLine="0"/>
              <w:jc w:val="center"/>
              <w:rPr>
                <w:color w:val="B50101"/>
                <w:sz w:val="28"/>
                <w:szCs w:val="28"/>
              </w:rPr>
            </w:pPr>
          </w:p>
        </w:tc>
        <w:tc>
          <w:tcPr>
            <w:tcW w:w="576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C50E38" w14:textId="74B2F807" w:rsidR="00874C17" w:rsidRDefault="00874C17" w:rsidP="001558FF">
            <w:pPr>
              <w:pStyle w:val="TableText"/>
            </w:pPr>
            <w:r>
              <w:t xml:space="preserve">Validate </w:t>
            </w:r>
            <w:r w:rsidR="00C61542">
              <w:t xml:space="preserve">the Market Center </w:t>
            </w:r>
            <w:r>
              <w:t xml:space="preserve">Cap Management </w:t>
            </w:r>
            <w:r w:rsidR="00C61542">
              <w:t>tool.</w:t>
            </w:r>
            <w:r>
              <w:t xml:space="preserve"> </w:t>
            </w:r>
          </w:p>
          <w:p w14:paraId="7EABA6E7" w14:textId="294B020D" w:rsidR="006C228B" w:rsidRDefault="006C228B" w:rsidP="00BF0FBF">
            <w:pPr>
              <w:pStyle w:val="TableText"/>
              <w:numPr>
                <w:ilvl w:val="0"/>
                <w:numId w:val="22"/>
              </w:numPr>
            </w:pPr>
            <w:r>
              <w:t xml:space="preserve">View the </w:t>
            </w:r>
            <w:hyperlink r:id="rId9" w:history="1">
              <w:r w:rsidRPr="006C228B">
                <w:rPr>
                  <w:rStyle w:val="Hyperlink"/>
                </w:rPr>
                <w:t>Cap Management webinar</w:t>
              </w:r>
            </w:hyperlink>
            <w:r>
              <w:t xml:space="preserve"> with President and CEO John Davis on KWConnect.</w:t>
            </w:r>
          </w:p>
          <w:p w14:paraId="03D6A862" w14:textId="3D9A6A8A" w:rsidR="00874C17" w:rsidRDefault="00BF0FBF" w:rsidP="00BF0FBF">
            <w:pPr>
              <w:pStyle w:val="TableText"/>
              <w:numPr>
                <w:ilvl w:val="0"/>
                <w:numId w:val="22"/>
              </w:numPr>
            </w:pPr>
            <w:r>
              <w:t xml:space="preserve">Pull your </w:t>
            </w:r>
            <w:r w:rsidR="00571E0A">
              <w:t xml:space="preserve">YTD Closed Production report </w:t>
            </w:r>
            <w:r w:rsidR="006C228B">
              <w:t xml:space="preserve">from your most recent transmittal </w:t>
            </w:r>
            <w:r w:rsidR="00C61542">
              <w:t xml:space="preserve">(WinMORE) </w:t>
            </w:r>
            <w:r w:rsidR="00571E0A">
              <w:t xml:space="preserve">or the </w:t>
            </w:r>
            <w:r w:rsidR="00C61542">
              <w:t>Closed Production Report – Prior Year (myKW Reports)</w:t>
            </w:r>
            <w:r>
              <w:t>.</w:t>
            </w:r>
            <w:r w:rsidR="00C61542">
              <w:t xml:space="preserve"> </w:t>
            </w:r>
          </w:p>
          <w:p w14:paraId="5D065712" w14:textId="77777777" w:rsidR="00BF0FBF" w:rsidRDefault="00BF0FBF" w:rsidP="00BF0FBF">
            <w:pPr>
              <w:pStyle w:val="TableText"/>
              <w:numPr>
                <w:ilvl w:val="0"/>
                <w:numId w:val="22"/>
              </w:numPr>
            </w:pPr>
            <w:r>
              <w:t xml:space="preserve">Compare the report to your Cap Management tool. </w:t>
            </w:r>
          </w:p>
          <w:p w14:paraId="2DB278AB" w14:textId="3E4F0E48" w:rsidR="00BF0FBF" w:rsidRDefault="00BF0FBF" w:rsidP="00D93073">
            <w:pPr>
              <w:pStyle w:val="TableText"/>
              <w:numPr>
                <w:ilvl w:val="0"/>
                <w:numId w:val="22"/>
              </w:numPr>
            </w:pPr>
            <w:r>
              <w:t xml:space="preserve">Add or remove associates from your Cap Management tool per your Market Center’s production status requirements. </w:t>
            </w:r>
            <w:r>
              <w:br/>
            </w:r>
            <w:r w:rsidRPr="00BF0FBF">
              <w:rPr>
                <w:i/>
              </w:rPr>
              <w:t>Note: Do not move existing associate Company Dollar anniversary dates.</w:t>
            </w:r>
            <w:r>
              <w:t xml:space="preserve">  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185DE4" w14:textId="24F5C126" w:rsidR="00BF0FBF" w:rsidRDefault="00BF0FBF" w:rsidP="00267AB2">
            <w:pPr>
              <w:pStyle w:val="TableText"/>
              <w:jc w:val="center"/>
            </w:pPr>
            <w:r>
              <w:t xml:space="preserve">YTD Closed Production report (WinMORE) or Closed Production Report – Prior Year </w:t>
            </w:r>
            <w:r w:rsidR="00B07936">
              <w:br/>
            </w:r>
            <w:r>
              <w:t>(myKW reports)</w:t>
            </w:r>
            <w:r w:rsidR="00B07936">
              <w:br/>
            </w:r>
          </w:p>
          <w:p w14:paraId="32CBF1BE" w14:textId="27B07692" w:rsidR="00874C17" w:rsidRDefault="00C61542" w:rsidP="00267AB2">
            <w:pPr>
              <w:pStyle w:val="TableText"/>
              <w:jc w:val="center"/>
            </w:pPr>
            <w:r>
              <w:t>Cap Management</w:t>
            </w:r>
          </w:p>
        </w:tc>
        <w:tc>
          <w:tcPr>
            <w:tcW w:w="1075" w:type="dxa"/>
          </w:tcPr>
          <w:p w14:paraId="5505D3A6" w14:textId="77777777" w:rsidR="00874C17" w:rsidRDefault="00874C17" w:rsidP="00A73E54">
            <w:pPr>
              <w:pStyle w:val="TableText"/>
            </w:pPr>
          </w:p>
        </w:tc>
      </w:tr>
      <w:tr w:rsidR="005A5B16" w:rsidRPr="00370491" w14:paraId="7E188CEC" w14:textId="77777777" w:rsidTr="00267AB2">
        <w:trPr>
          <w:cantSplit/>
          <w:trHeight w:val="20"/>
          <w:jc w:val="center"/>
        </w:trPr>
        <w:tc>
          <w:tcPr>
            <w:tcW w:w="535" w:type="dxa"/>
            <w:vAlign w:val="center"/>
          </w:tcPr>
          <w:p w14:paraId="41007ECF" w14:textId="77777777" w:rsidR="005A5B16" w:rsidRPr="00CB64C0" w:rsidRDefault="005A5B16" w:rsidP="00CB64C0">
            <w:pPr>
              <w:pStyle w:val="TableText"/>
              <w:numPr>
                <w:ilvl w:val="0"/>
                <w:numId w:val="43"/>
              </w:numPr>
              <w:ind w:left="0" w:firstLine="0"/>
              <w:jc w:val="center"/>
              <w:rPr>
                <w:color w:val="B50101"/>
                <w:sz w:val="28"/>
                <w:szCs w:val="28"/>
              </w:rPr>
            </w:pPr>
          </w:p>
        </w:tc>
        <w:tc>
          <w:tcPr>
            <w:tcW w:w="576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0DADF4" w14:textId="6205DED3" w:rsidR="005A5B16" w:rsidRDefault="009D6A3D" w:rsidP="009D6A3D">
            <w:pPr>
              <w:pStyle w:val="TableText"/>
            </w:pPr>
            <w:r>
              <w:t>As a leadership team, s</w:t>
            </w:r>
            <w:r w:rsidR="005A5B16">
              <w:t xml:space="preserve">trategically reach out to associates who will </w:t>
            </w:r>
            <w:r w:rsidR="0056316C">
              <w:t xml:space="preserve">cross over their Company Dollar Anniversary date in 90 days. Direct them to Team Leader consulting, KW training, or MAPS coaching </w:t>
            </w:r>
            <w:r>
              <w:t xml:space="preserve">to </w:t>
            </w:r>
            <w:r w:rsidR="007B2C2C">
              <w:t>support</w:t>
            </w:r>
            <w:r w:rsidR="0056316C">
              <w:t xml:space="preserve"> them </w:t>
            </w:r>
            <w:r w:rsidR="007B2C2C">
              <w:t>in</w:t>
            </w:r>
            <w:r w:rsidR="0056316C">
              <w:t xml:space="preserve"> cap</w:t>
            </w:r>
            <w:r w:rsidR="007B2C2C">
              <w:t>ping</w:t>
            </w:r>
            <w:r w:rsidR="0056316C">
              <w:t xml:space="preserve"> quickly. 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C999DF" w14:textId="1243F06F" w:rsidR="0056316C" w:rsidRDefault="0056316C" w:rsidP="00267AB2">
            <w:pPr>
              <w:pStyle w:val="TableText"/>
              <w:jc w:val="center"/>
            </w:pPr>
            <w:r>
              <w:t>YTD Closed Production report</w:t>
            </w:r>
          </w:p>
          <w:p w14:paraId="536B7B3C" w14:textId="77777777" w:rsidR="0056316C" w:rsidRDefault="0056316C" w:rsidP="00267AB2">
            <w:pPr>
              <w:pStyle w:val="TableText"/>
              <w:jc w:val="center"/>
            </w:pPr>
          </w:p>
          <w:p w14:paraId="66D752EA" w14:textId="696347E2" w:rsidR="005A5B16" w:rsidRDefault="0056316C" w:rsidP="00267AB2">
            <w:pPr>
              <w:pStyle w:val="TableText"/>
              <w:jc w:val="center"/>
            </w:pPr>
            <w:r>
              <w:t>Cap Management</w:t>
            </w:r>
          </w:p>
        </w:tc>
        <w:tc>
          <w:tcPr>
            <w:tcW w:w="1075" w:type="dxa"/>
          </w:tcPr>
          <w:p w14:paraId="6D94BCB6" w14:textId="77777777" w:rsidR="005A5B16" w:rsidRDefault="005A5B16" w:rsidP="00A73E54">
            <w:pPr>
              <w:pStyle w:val="TableText"/>
            </w:pPr>
          </w:p>
        </w:tc>
      </w:tr>
    </w:tbl>
    <w:p w14:paraId="6AE64DD3" w14:textId="1C8C3879" w:rsidR="004C4191" w:rsidRDefault="004C4191"/>
    <w:p w14:paraId="4A5F3B38" w14:textId="77777777" w:rsidR="004C4191" w:rsidRDefault="004C4191">
      <w:pPr>
        <w:spacing w:before="0" w:after="160"/>
      </w:pPr>
      <w:r>
        <w:br w:type="page"/>
      </w:r>
    </w:p>
    <w:p w14:paraId="01184E9B" w14:textId="77777777" w:rsidR="004C4191" w:rsidRDefault="004C4191"/>
    <w:tbl>
      <w:tblPr>
        <w:tblStyle w:val="TableGrid"/>
        <w:tblW w:w="0" w:type="auto"/>
        <w:jc w:val="center"/>
        <w:tblBorders>
          <w:top w:val="single" w:sz="4" w:space="0" w:color="828282"/>
          <w:left w:val="single" w:sz="4" w:space="0" w:color="828282"/>
          <w:bottom w:val="single" w:sz="4" w:space="0" w:color="828282"/>
          <w:right w:val="single" w:sz="4" w:space="0" w:color="828282"/>
          <w:insideH w:val="single" w:sz="4" w:space="0" w:color="828282"/>
          <w:insideV w:val="single" w:sz="4" w:space="0" w:color="828282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760"/>
        <w:gridCol w:w="1980"/>
        <w:gridCol w:w="1075"/>
      </w:tblGrid>
      <w:tr w:rsidR="004C4191" w:rsidRPr="00370491" w14:paraId="1578F8D6" w14:textId="77777777" w:rsidTr="00CA1862">
        <w:trPr>
          <w:cantSplit/>
          <w:trHeight w:val="20"/>
          <w:tblHeader/>
          <w:jc w:val="center"/>
        </w:trPr>
        <w:tc>
          <w:tcPr>
            <w:tcW w:w="9350" w:type="dxa"/>
            <w:gridSpan w:val="4"/>
            <w:shd w:val="clear" w:color="auto" w:fill="404040" w:themeFill="text1" w:themeFillTint="BF"/>
            <w:vAlign w:val="center"/>
          </w:tcPr>
          <w:p w14:paraId="07D51AFC" w14:textId="79C2EB4C" w:rsidR="004C4191" w:rsidRPr="00CA1862" w:rsidRDefault="004C4191" w:rsidP="004C4191">
            <w:pPr>
              <w:pStyle w:val="TableHeading1"/>
              <w:jc w:val="left"/>
              <w:rPr>
                <w:color w:val="FFFFFF" w:themeColor="background1"/>
              </w:rPr>
            </w:pPr>
            <w:r w:rsidRPr="00CA1862">
              <w:rPr>
                <w:b/>
                <w:color w:val="FFFFFF" w:themeColor="background1"/>
                <w:spacing w:val="20"/>
              </w:rPr>
              <w:t>Complete aFTER Reports are published on mykw</w:t>
            </w:r>
          </w:p>
        </w:tc>
      </w:tr>
      <w:tr w:rsidR="004C4191" w:rsidRPr="00370491" w14:paraId="46D16A42" w14:textId="77777777" w:rsidTr="00DF6071">
        <w:trPr>
          <w:cantSplit/>
          <w:trHeight w:val="20"/>
          <w:tblHeader/>
          <w:jc w:val="center"/>
        </w:trPr>
        <w:tc>
          <w:tcPr>
            <w:tcW w:w="535" w:type="dxa"/>
            <w:shd w:val="clear" w:color="auto" w:fill="EBEBEB"/>
            <w:vAlign w:val="center"/>
          </w:tcPr>
          <w:p w14:paraId="4994E3B7" w14:textId="77777777" w:rsidR="004C4191" w:rsidRPr="00CB64C0" w:rsidRDefault="004C4191" w:rsidP="00DF6071">
            <w:pPr>
              <w:pStyle w:val="TableHeading1"/>
              <w:rPr>
                <w:color w:val="B50101"/>
                <w:sz w:val="28"/>
                <w:szCs w:val="28"/>
              </w:rPr>
            </w:pPr>
            <w:r w:rsidRPr="00CB64C0">
              <w:rPr>
                <w:color w:val="B50101"/>
                <w:sz w:val="28"/>
                <w:szCs w:val="28"/>
              </w:rPr>
              <w:t>#</w:t>
            </w:r>
          </w:p>
        </w:tc>
        <w:tc>
          <w:tcPr>
            <w:tcW w:w="5760" w:type="dxa"/>
            <w:shd w:val="clear" w:color="auto" w:fill="EBEBEB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F0C7BB" w14:textId="77777777" w:rsidR="004C4191" w:rsidRPr="00370491" w:rsidRDefault="004C4191" w:rsidP="00DF6071">
            <w:pPr>
              <w:pStyle w:val="TableHeading1"/>
            </w:pPr>
            <w:r>
              <w:t>Task/Step</w:t>
            </w:r>
          </w:p>
        </w:tc>
        <w:tc>
          <w:tcPr>
            <w:tcW w:w="1980" w:type="dxa"/>
            <w:shd w:val="clear" w:color="auto" w:fill="EBEBEB"/>
            <w:vAlign w:val="center"/>
          </w:tcPr>
          <w:p w14:paraId="032B527D" w14:textId="77777777" w:rsidR="004C4191" w:rsidRPr="00370491" w:rsidRDefault="004C4191" w:rsidP="00DF6071">
            <w:pPr>
              <w:pStyle w:val="TableHeading1"/>
            </w:pPr>
            <w:r>
              <w:t>TooL(s)</w:t>
            </w:r>
          </w:p>
        </w:tc>
        <w:tc>
          <w:tcPr>
            <w:tcW w:w="1075" w:type="dxa"/>
            <w:shd w:val="clear" w:color="auto" w:fill="EBEBEB"/>
            <w:vAlign w:val="center"/>
          </w:tcPr>
          <w:p w14:paraId="30083B23" w14:textId="77777777" w:rsidR="004C4191" w:rsidRPr="00370491" w:rsidRDefault="004C4191" w:rsidP="00DF6071">
            <w:pPr>
              <w:pStyle w:val="TableHeading1"/>
            </w:pPr>
            <w:r>
              <w:t>Done</w:t>
            </w:r>
          </w:p>
        </w:tc>
      </w:tr>
      <w:tr w:rsidR="00A313EC" w:rsidRPr="00370491" w14:paraId="56C5CC31" w14:textId="26CD65B4" w:rsidTr="00267AB2">
        <w:trPr>
          <w:cantSplit/>
          <w:trHeight w:val="20"/>
          <w:jc w:val="center"/>
        </w:trPr>
        <w:tc>
          <w:tcPr>
            <w:tcW w:w="535" w:type="dxa"/>
            <w:vAlign w:val="center"/>
          </w:tcPr>
          <w:p w14:paraId="0E56606D" w14:textId="5D638D61" w:rsidR="002D47A5" w:rsidRPr="00CB64C0" w:rsidRDefault="002D47A5" w:rsidP="00CB64C0">
            <w:pPr>
              <w:pStyle w:val="TableText"/>
              <w:numPr>
                <w:ilvl w:val="0"/>
                <w:numId w:val="43"/>
              </w:numPr>
              <w:ind w:left="0" w:firstLine="0"/>
              <w:jc w:val="center"/>
              <w:rPr>
                <w:color w:val="B50101"/>
                <w:sz w:val="28"/>
                <w:szCs w:val="28"/>
              </w:rPr>
            </w:pPr>
          </w:p>
        </w:tc>
        <w:tc>
          <w:tcPr>
            <w:tcW w:w="576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2C6B49" w14:textId="791BEFC1" w:rsidR="002D47A5" w:rsidRPr="008D21DF" w:rsidRDefault="000D21AB" w:rsidP="004C4191">
            <w:pPr>
              <w:pStyle w:val="TableText"/>
            </w:pPr>
            <w:r>
              <w:t>After the 5</w:t>
            </w:r>
            <w:r w:rsidRPr="004C4191">
              <w:rPr>
                <w:vertAlign w:val="superscript"/>
              </w:rPr>
              <w:t>th</w:t>
            </w:r>
            <w:r>
              <w:t xml:space="preserve"> business day of the month, d</w:t>
            </w:r>
            <w:r w:rsidR="00031BF0">
              <w:t>ownload the Market Center Multi-Year Trends Report from myKW</w:t>
            </w:r>
            <w:r w:rsidR="003F5F97">
              <w:t>.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1C8FD0" w14:textId="2D555FE0" w:rsidR="002D47A5" w:rsidRDefault="00267AB2" w:rsidP="00267AB2">
            <w:pPr>
              <w:pStyle w:val="TableText"/>
              <w:jc w:val="center"/>
            </w:pPr>
            <w:r>
              <w:t>Multi-Year Trend Report</w:t>
            </w:r>
          </w:p>
        </w:tc>
        <w:tc>
          <w:tcPr>
            <w:tcW w:w="1075" w:type="dxa"/>
          </w:tcPr>
          <w:p w14:paraId="30C36DAD" w14:textId="77777777" w:rsidR="002D47A5" w:rsidRDefault="002D47A5" w:rsidP="00A73E54">
            <w:pPr>
              <w:pStyle w:val="TableText"/>
            </w:pPr>
          </w:p>
        </w:tc>
      </w:tr>
      <w:tr w:rsidR="00A313EC" w:rsidRPr="00370491" w14:paraId="291FB60E" w14:textId="54536408" w:rsidTr="00267AB2">
        <w:trPr>
          <w:cantSplit/>
          <w:trHeight w:val="20"/>
          <w:jc w:val="center"/>
        </w:trPr>
        <w:tc>
          <w:tcPr>
            <w:tcW w:w="535" w:type="dxa"/>
            <w:vAlign w:val="center"/>
          </w:tcPr>
          <w:p w14:paraId="6C161EE4" w14:textId="7893888B" w:rsidR="002D47A5" w:rsidRPr="00CB64C0" w:rsidRDefault="002D47A5" w:rsidP="00CB64C0">
            <w:pPr>
              <w:pStyle w:val="TableText"/>
              <w:numPr>
                <w:ilvl w:val="0"/>
                <w:numId w:val="43"/>
              </w:numPr>
              <w:ind w:left="0" w:firstLine="0"/>
              <w:jc w:val="center"/>
              <w:rPr>
                <w:color w:val="B50101"/>
                <w:sz w:val="28"/>
                <w:szCs w:val="28"/>
              </w:rPr>
            </w:pPr>
          </w:p>
        </w:tc>
        <w:tc>
          <w:tcPr>
            <w:tcW w:w="576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396FE8" w14:textId="26377AF5" w:rsidR="002D47A5" w:rsidRDefault="00031BF0" w:rsidP="00A73E54">
            <w:pPr>
              <w:pStyle w:val="TableText"/>
            </w:pPr>
            <w:r>
              <w:t>Review the metrics of production on the Multi-Year Trend</w:t>
            </w:r>
            <w:r w:rsidR="001558FF">
              <w:t>s</w:t>
            </w:r>
            <w:r>
              <w:t xml:space="preserve"> Report: </w:t>
            </w:r>
          </w:p>
          <w:p w14:paraId="675D0DB5" w14:textId="3E279709" w:rsidR="00031BF0" w:rsidRDefault="00031BF0" w:rsidP="005A5B16">
            <w:pPr>
              <w:pStyle w:val="TableText"/>
              <w:numPr>
                <w:ilvl w:val="0"/>
                <w:numId w:val="44"/>
              </w:numPr>
            </w:pPr>
            <w:r>
              <w:t>Closed Units</w:t>
            </w:r>
          </w:p>
          <w:p w14:paraId="77E3D98D" w14:textId="48F354B5" w:rsidR="00031BF0" w:rsidRDefault="00031BF0" w:rsidP="005A5B16">
            <w:pPr>
              <w:pStyle w:val="TableText"/>
              <w:numPr>
                <w:ilvl w:val="0"/>
                <w:numId w:val="44"/>
              </w:numPr>
            </w:pPr>
            <w:r>
              <w:t>Closed Sales Volume</w:t>
            </w:r>
          </w:p>
          <w:p w14:paraId="7B1DFFA3" w14:textId="3A057C2C" w:rsidR="00031BF0" w:rsidRDefault="00031BF0" w:rsidP="005A5B16">
            <w:pPr>
              <w:pStyle w:val="TableText"/>
              <w:numPr>
                <w:ilvl w:val="0"/>
                <w:numId w:val="44"/>
              </w:numPr>
            </w:pPr>
            <w:r>
              <w:t>Listings Taken</w:t>
            </w:r>
          </w:p>
          <w:p w14:paraId="48E51583" w14:textId="7F796458" w:rsidR="00031BF0" w:rsidRDefault="00031BF0" w:rsidP="005A5B16">
            <w:pPr>
              <w:pStyle w:val="TableText"/>
              <w:numPr>
                <w:ilvl w:val="0"/>
                <w:numId w:val="44"/>
              </w:numPr>
            </w:pPr>
            <w:r>
              <w:t>Listings Taken Volume</w:t>
            </w:r>
          </w:p>
          <w:p w14:paraId="177721D4" w14:textId="6F0B854B" w:rsidR="00031BF0" w:rsidRDefault="00031BF0" w:rsidP="005A5B16">
            <w:pPr>
              <w:pStyle w:val="TableText"/>
              <w:numPr>
                <w:ilvl w:val="0"/>
                <w:numId w:val="44"/>
              </w:numPr>
            </w:pPr>
            <w:r>
              <w:t>Listings Sold</w:t>
            </w:r>
          </w:p>
          <w:p w14:paraId="50597052" w14:textId="28057BDE" w:rsidR="00031BF0" w:rsidRDefault="00031BF0" w:rsidP="005A5B16">
            <w:pPr>
              <w:pStyle w:val="TableText"/>
              <w:numPr>
                <w:ilvl w:val="0"/>
                <w:numId w:val="44"/>
              </w:numPr>
            </w:pPr>
            <w:r>
              <w:t>Listings Sold Volume</w:t>
            </w:r>
          </w:p>
          <w:p w14:paraId="1236DD5F" w14:textId="756DC398" w:rsidR="00031BF0" w:rsidRDefault="00031BF0" w:rsidP="005A5B16">
            <w:pPr>
              <w:pStyle w:val="TableText"/>
              <w:numPr>
                <w:ilvl w:val="0"/>
                <w:numId w:val="44"/>
              </w:numPr>
            </w:pPr>
            <w:r>
              <w:t>Contracts Written</w:t>
            </w:r>
          </w:p>
          <w:p w14:paraId="7D376563" w14:textId="0EF59728" w:rsidR="00031BF0" w:rsidRPr="008D21DF" w:rsidRDefault="00031BF0" w:rsidP="005A5B16">
            <w:pPr>
              <w:pStyle w:val="TableText"/>
              <w:numPr>
                <w:ilvl w:val="0"/>
                <w:numId w:val="44"/>
              </w:numPr>
            </w:pPr>
            <w:r>
              <w:t>Contracts Written Volume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C4DE4C" w14:textId="2E142AFC" w:rsidR="002D47A5" w:rsidRPr="00031BF0" w:rsidRDefault="00031BF0" w:rsidP="00267AB2">
            <w:pPr>
              <w:jc w:val="center"/>
            </w:pPr>
            <w:r>
              <w:t>Multi-Year Trend Report</w:t>
            </w:r>
          </w:p>
        </w:tc>
        <w:tc>
          <w:tcPr>
            <w:tcW w:w="1075" w:type="dxa"/>
          </w:tcPr>
          <w:p w14:paraId="1E316D1C" w14:textId="77777777" w:rsidR="002D47A5" w:rsidRDefault="002D47A5" w:rsidP="00A73E54">
            <w:pPr>
              <w:pStyle w:val="TableText"/>
            </w:pPr>
          </w:p>
        </w:tc>
      </w:tr>
      <w:tr w:rsidR="001558FF" w:rsidRPr="00370491" w14:paraId="79F86F60" w14:textId="69339BB8" w:rsidTr="00267AB2">
        <w:trPr>
          <w:cantSplit/>
          <w:trHeight w:val="20"/>
          <w:jc w:val="center"/>
        </w:trPr>
        <w:tc>
          <w:tcPr>
            <w:tcW w:w="535" w:type="dxa"/>
            <w:vAlign w:val="center"/>
          </w:tcPr>
          <w:p w14:paraId="0A170B48" w14:textId="4EEA35CE" w:rsidR="001558FF" w:rsidRPr="00CB64C0" w:rsidRDefault="001558FF" w:rsidP="00CB64C0">
            <w:pPr>
              <w:pStyle w:val="TableText"/>
              <w:numPr>
                <w:ilvl w:val="0"/>
                <w:numId w:val="43"/>
              </w:numPr>
              <w:ind w:left="0" w:firstLine="0"/>
              <w:jc w:val="center"/>
              <w:rPr>
                <w:color w:val="B50101"/>
                <w:sz w:val="28"/>
                <w:szCs w:val="28"/>
              </w:rPr>
            </w:pPr>
          </w:p>
        </w:tc>
        <w:tc>
          <w:tcPr>
            <w:tcW w:w="576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925B24" w14:textId="3FCCAC0C" w:rsidR="001558FF" w:rsidRDefault="001558FF" w:rsidP="001558FF">
            <w:pPr>
              <w:pStyle w:val="TableText"/>
            </w:pPr>
            <w:r>
              <w:t>Analyze each production metric of the Multi-Year Trends Report:</w:t>
            </w:r>
          </w:p>
          <w:p w14:paraId="22901A9B" w14:textId="4B97478B" w:rsidR="001558FF" w:rsidRDefault="001558FF" w:rsidP="001558FF">
            <w:pPr>
              <w:pStyle w:val="TableText"/>
              <w:numPr>
                <w:ilvl w:val="0"/>
                <w:numId w:val="26"/>
              </w:numPr>
            </w:pPr>
            <w:r>
              <w:t>Look at the month-over-month change.</w:t>
            </w:r>
          </w:p>
          <w:p w14:paraId="0D596B54" w14:textId="324D8863" w:rsidR="001558FF" w:rsidRDefault="001558FF" w:rsidP="001558FF">
            <w:pPr>
              <w:pStyle w:val="TableText"/>
              <w:numPr>
                <w:ilvl w:val="0"/>
                <w:numId w:val="26"/>
              </w:numPr>
            </w:pPr>
            <w:r>
              <w:t>How does the current month compare to the previous month?</w:t>
            </w:r>
          </w:p>
          <w:p w14:paraId="3A771FC7" w14:textId="63681406" w:rsidR="001558FF" w:rsidRDefault="001558FF" w:rsidP="001558FF">
            <w:pPr>
              <w:pStyle w:val="TableText"/>
              <w:numPr>
                <w:ilvl w:val="0"/>
                <w:numId w:val="26"/>
              </w:numPr>
            </w:pPr>
            <w:r>
              <w:t>Find the record-setting month. Compare it to the current month.</w:t>
            </w:r>
          </w:p>
          <w:p w14:paraId="3DE2B03E" w14:textId="53F04C69" w:rsidR="001558FF" w:rsidRDefault="003F5F97" w:rsidP="001558FF">
            <w:pPr>
              <w:pStyle w:val="TableText"/>
              <w:numPr>
                <w:ilvl w:val="0"/>
                <w:numId w:val="26"/>
              </w:numPr>
            </w:pPr>
            <w:r>
              <w:t>Identify</w:t>
            </w:r>
            <w:r w:rsidR="001558FF">
              <w:t xml:space="preserve"> any all-time records!</w:t>
            </w:r>
          </w:p>
          <w:p w14:paraId="40980FF4" w14:textId="081D740E" w:rsidR="001558FF" w:rsidRPr="008D21DF" w:rsidRDefault="001558FF" w:rsidP="001558FF">
            <w:pPr>
              <w:pStyle w:val="TableText"/>
              <w:numPr>
                <w:ilvl w:val="0"/>
                <w:numId w:val="26"/>
              </w:numPr>
            </w:pPr>
            <w:r>
              <w:t>Compare current year to prior years.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A8C774" w14:textId="5907BDDB" w:rsidR="001558FF" w:rsidRDefault="001558FF" w:rsidP="00267AB2">
            <w:pPr>
              <w:jc w:val="center"/>
            </w:pPr>
            <w:r>
              <w:t>Multi-Year Trend Report</w:t>
            </w:r>
          </w:p>
        </w:tc>
        <w:tc>
          <w:tcPr>
            <w:tcW w:w="1075" w:type="dxa"/>
          </w:tcPr>
          <w:p w14:paraId="7BE9C5CB" w14:textId="77777777" w:rsidR="001558FF" w:rsidRPr="0076681F" w:rsidRDefault="001558FF" w:rsidP="001558FF">
            <w:pPr>
              <w:pStyle w:val="TableText"/>
            </w:pPr>
          </w:p>
        </w:tc>
      </w:tr>
      <w:tr w:rsidR="001558FF" w:rsidRPr="00370491" w14:paraId="57792680" w14:textId="525608C9" w:rsidTr="00267AB2">
        <w:trPr>
          <w:cantSplit/>
          <w:trHeight w:val="20"/>
          <w:jc w:val="center"/>
        </w:trPr>
        <w:tc>
          <w:tcPr>
            <w:tcW w:w="535" w:type="dxa"/>
            <w:vAlign w:val="center"/>
          </w:tcPr>
          <w:p w14:paraId="14553A4F" w14:textId="0A1EFCAD" w:rsidR="001558FF" w:rsidRPr="00CB64C0" w:rsidRDefault="001558FF" w:rsidP="00CB64C0">
            <w:pPr>
              <w:pStyle w:val="TableText"/>
              <w:numPr>
                <w:ilvl w:val="0"/>
                <w:numId w:val="43"/>
              </w:numPr>
              <w:ind w:left="0" w:firstLine="0"/>
              <w:jc w:val="center"/>
              <w:rPr>
                <w:color w:val="B5010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76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86AD23" w14:textId="77777777" w:rsidR="001558FF" w:rsidRDefault="001558FF" w:rsidP="001558FF">
            <w:pPr>
              <w:pStyle w:val="Table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Analyze the production metrics that quantify prior activities: </w:t>
            </w:r>
          </w:p>
          <w:p w14:paraId="7BD62DAE" w14:textId="77777777" w:rsidR="001558FF" w:rsidRDefault="001558FF" w:rsidP="001558FF">
            <w:pPr>
              <w:pStyle w:val="TableText"/>
              <w:numPr>
                <w:ilvl w:val="0"/>
                <w:numId w:val="27"/>
              </w:numPr>
            </w:pPr>
            <w:r>
              <w:t>Closed Units</w:t>
            </w:r>
          </w:p>
          <w:p w14:paraId="62A36585" w14:textId="77777777" w:rsidR="001558FF" w:rsidRDefault="001558FF" w:rsidP="001558FF">
            <w:pPr>
              <w:pStyle w:val="TableText"/>
              <w:numPr>
                <w:ilvl w:val="0"/>
                <w:numId w:val="27"/>
              </w:numPr>
            </w:pPr>
            <w:r>
              <w:t>Closed Sales Volume</w:t>
            </w:r>
          </w:p>
          <w:p w14:paraId="0248C0E9" w14:textId="77777777" w:rsidR="001558FF" w:rsidRDefault="001558FF" w:rsidP="001558FF">
            <w:pPr>
              <w:pStyle w:val="TableText"/>
              <w:numPr>
                <w:ilvl w:val="0"/>
                <w:numId w:val="27"/>
              </w:numPr>
            </w:pPr>
            <w:r>
              <w:t>Listings Sold</w:t>
            </w:r>
          </w:p>
          <w:p w14:paraId="4AD5A598" w14:textId="16CD7682" w:rsidR="001558FF" w:rsidRPr="008D21DF" w:rsidRDefault="001558FF" w:rsidP="001558FF">
            <w:pPr>
              <w:pStyle w:val="TableText"/>
              <w:numPr>
                <w:ilvl w:val="0"/>
                <w:numId w:val="27"/>
              </w:numPr>
              <w:rPr>
                <w:shd w:val="clear" w:color="auto" w:fill="FFFFFF" w:themeFill="background1"/>
              </w:rPr>
            </w:pPr>
            <w:r>
              <w:t>Listings Sold Volume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3E8B78" w14:textId="23CF011C" w:rsidR="001558FF" w:rsidRDefault="001558FF" w:rsidP="00267AB2">
            <w:pPr>
              <w:jc w:val="center"/>
            </w:pPr>
            <w:r>
              <w:t>Multi-Year Trend Report</w:t>
            </w:r>
          </w:p>
        </w:tc>
        <w:tc>
          <w:tcPr>
            <w:tcW w:w="1075" w:type="dxa"/>
          </w:tcPr>
          <w:p w14:paraId="499BF397" w14:textId="77777777" w:rsidR="001558FF" w:rsidRPr="0076681F" w:rsidRDefault="001558FF" w:rsidP="001558FF">
            <w:pPr>
              <w:pStyle w:val="TableText"/>
            </w:pPr>
          </w:p>
        </w:tc>
      </w:tr>
      <w:tr w:rsidR="001558FF" w14:paraId="3CFB59B0" w14:textId="7EDCC942" w:rsidTr="00267AB2">
        <w:trPr>
          <w:cantSplit/>
          <w:trHeight w:val="20"/>
          <w:jc w:val="center"/>
        </w:trPr>
        <w:tc>
          <w:tcPr>
            <w:tcW w:w="535" w:type="dxa"/>
            <w:vAlign w:val="center"/>
          </w:tcPr>
          <w:p w14:paraId="4318FAC8" w14:textId="61D02E58" w:rsidR="001558FF" w:rsidRPr="00CB64C0" w:rsidRDefault="001558FF" w:rsidP="00CB64C0">
            <w:pPr>
              <w:pStyle w:val="TableText"/>
              <w:numPr>
                <w:ilvl w:val="0"/>
                <w:numId w:val="43"/>
              </w:numPr>
              <w:ind w:left="0" w:firstLine="0"/>
              <w:jc w:val="center"/>
              <w:rPr>
                <w:color w:val="B5010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76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2711F7" w14:textId="3337F223" w:rsidR="001558FF" w:rsidRDefault="001558FF" w:rsidP="001558FF">
            <w:pPr>
              <w:pStyle w:val="Table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Analyze the production metrics that quantify future results: </w:t>
            </w:r>
          </w:p>
          <w:p w14:paraId="17868F17" w14:textId="77777777" w:rsidR="001558FF" w:rsidRDefault="001558FF" w:rsidP="001558FF">
            <w:pPr>
              <w:pStyle w:val="TableText"/>
              <w:numPr>
                <w:ilvl w:val="0"/>
                <w:numId w:val="28"/>
              </w:numPr>
            </w:pPr>
            <w:r>
              <w:t>Listings Taken</w:t>
            </w:r>
          </w:p>
          <w:p w14:paraId="202C232C" w14:textId="77777777" w:rsidR="001558FF" w:rsidRDefault="001558FF" w:rsidP="001558FF">
            <w:pPr>
              <w:pStyle w:val="TableText"/>
              <w:numPr>
                <w:ilvl w:val="0"/>
                <w:numId w:val="28"/>
              </w:numPr>
            </w:pPr>
            <w:r>
              <w:t>Listings Taken Volume</w:t>
            </w:r>
          </w:p>
          <w:p w14:paraId="25225BBE" w14:textId="77777777" w:rsidR="001558FF" w:rsidRDefault="001558FF" w:rsidP="001558FF">
            <w:pPr>
              <w:pStyle w:val="TableText"/>
              <w:numPr>
                <w:ilvl w:val="0"/>
                <w:numId w:val="28"/>
              </w:numPr>
            </w:pPr>
            <w:r>
              <w:t>Contracts Written</w:t>
            </w:r>
          </w:p>
          <w:p w14:paraId="5DC6E746" w14:textId="32266084" w:rsidR="001558FF" w:rsidRPr="00364374" w:rsidRDefault="001558FF" w:rsidP="001558FF">
            <w:pPr>
              <w:pStyle w:val="TableText"/>
              <w:numPr>
                <w:ilvl w:val="0"/>
                <w:numId w:val="28"/>
              </w:numPr>
              <w:rPr>
                <w:shd w:val="clear" w:color="auto" w:fill="FFFFFF" w:themeFill="background1"/>
              </w:rPr>
            </w:pPr>
            <w:r>
              <w:t>Contracts Written Volume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A34784" w14:textId="6D0DA00D" w:rsidR="001558FF" w:rsidRDefault="001558FF" w:rsidP="00267AB2">
            <w:pPr>
              <w:pStyle w:val="TableText"/>
              <w:jc w:val="center"/>
            </w:pPr>
            <w:r>
              <w:t>M</w:t>
            </w:r>
            <w:r w:rsidRPr="001558FF">
              <w:rPr>
                <w:rFonts w:eastAsiaTheme="minorHAnsi" w:cstheme="minorBidi"/>
                <w:sz w:val="22"/>
                <w:szCs w:val="22"/>
              </w:rPr>
              <w:t>ulti-Year Trend Report</w:t>
            </w:r>
          </w:p>
        </w:tc>
        <w:tc>
          <w:tcPr>
            <w:tcW w:w="1075" w:type="dxa"/>
          </w:tcPr>
          <w:p w14:paraId="7721EE45" w14:textId="77777777" w:rsidR="001558FF" w:rsidRPr="00B96CAE" w:rsidRDefault="001558FF" w:rsidP="001558FF">
            <w:pPr>
              <w:pStyle w:val="TableText"/>
            </w:pPr>
          </w:p>
        </w:tc>
      </w:tr>
      <w:tr w:rsidR="001558FF" w14:paraId="5A620FDC" w14:textId="6BBED2A9" w:rsidTr="00267AB2">
        <w:trPr>
          <w:cantSplit/>
          <w:trHeight w:val="20"/>
          <w:jc w:val="center"/>
        </w:trPr>
        <w:tc>
          <w:tcPr>
            <w:tcW w:w="535" w:type="dxa"/>
            <w:vAlign w:val="center"/>
          </w:tcPr>
          <w:p w14:paraId="7C38F496" w14:textId="0A8EDA56" w:rsidR="001558FF" w:rsidRPr="00CB64C0" w:rsidRDefault="001558FF" w:rsidP="00CB64C0">
            <w:pPr>
              <w:pStyle w:val="TableText"/>
              <w:numPr>
                <w:ilvl w:val="0"/>
                <w:numId w:val="43"/>
              </w:numPr>
              <w:ind w:left="0" w:firstLine="0"/>
              <w:jc w:val="center"/>
              <w:rPr>
                <w:color w:val="B5010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76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7D7607" w14:textId="735902F9" w:rsidR="001558FF" w:rsidRDefault="001558FF" w:rsidP="001558FF">
            <w:pPr>
              <w:pStyle w:val="Table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Create the Market Center</w:t>
            </w:r>
            <w:r w:rsidR="00563681">
              <w:rPr>
                <w:shd w:val="clear" w:color="auto" w:fill="FFFFFF" w:themeFill="background1"/>
              </w:rPr>
              <w:t>’s</w:t>
            </w:r>
            <w:r>
              <w:rPr>
                <w:shd w:val="clear" w:color="auto" w:fill="FFFFFF" w:themeFill="background1"/>
              </w:rPr>
              <w:t xml:space="preserve"> Monthly Language of Real Estate (LORE)</w:t>
            </w:r>
            <w:r w:rsidR="003F5F97">
              <w:rPr>
                <w:shd w:val="clear" w:color="auto" w:fill="FFFFFF" w:themeFill="background1"/>
              </w:rPr>
              <w:t>:</w:t>
            </w:r>
          </w:p>
          <w:p w14:paraId="426FC0B4" w14:textId="54408405" w:rsidR="004C4191" w:rsidRDefault="004C4191" w:rsidP="00563681">
            <w:pPr>
              <w:pStyle w:val="TableText"/>
              <w:numPr>
                <w:ilvl w:val="0"/>
                <w:numId w:val="29"/>
              </w:numPr>
            </w:pPr>
            <w:r>
              <w:t>Download the Language of Real Estate template from the Growth Initiative Page of KWConnect under tools.</w:t>
            </w:r>
          </w:p>
          <w:p w14:paraId="3625A00B" w14:textId="6C9D0CA3" w:rsidR="00563681" w:rsidRDefault="00563681" w:rsidP="00563681">
            <w:pPr>
              <w:pStyle w:val="TableText"/>
              <w:numPr>
                <w:ilvl w:val="0"/>
                <w:numId w:val="29"/>
              </w:numPr>
            </w:pPr>
            <w:r>
              <w:t>Add this month last year and this month’s values from your MLS or Board of Realtors for the eight metrics of production</w:t>
            </w:r>
          </w:p>
          <w:p w14:paraId="5C7993FF" w14:textId="44B4E19E" w:rsidR="00563681" w:rsidRDefault="00563681" w:rsidP="00563681">
            <w:pPr>
              <w:pStyle w:val="TableText"/>
              <w:numPr>
                <w:ilvl w:val="0"/>
                <w:numId w:val="29"/>
              </w:numPr>
            </w:pPr>
            <w:r>
              <w:t>Add the values from your Multi-Year Trends Report for the eight metrics of production</w:t>
            </w:r>
          </w:p>
          <w:p w14:paraId="11AC7A66" w14:textId="60664DE4" w:rsidR="00267AB2" w:rsidRPr="00370491" w:rsidRDefault="00563681" w:rsidP="00351EDE">
            <w:pPr>
              <w:pStyle w:val="TableText"/>
              <w:numPr>
                <w:ilvl w:val="0"/>
                <w:numId w:val="29"/>
              </w:numPr>
              <w:rPr>
                <w:shd w:val="clear" w:color="auto" w:fill="FFFFFF" w:themeFill="background1"/>
              </w:rPr>
            </w:pPr>
            <w:r>
              <w:t>The spreadsheet will calculate the percentage difference between your Board and your market Center</w:t>
            </w:r>
            <w:r w:rsidR="00267AB2">
              <w:t>.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763BCE" w14:textId="77777777" w:rsidR="00CC70FF" w:rsidRDefault="00CC70FF" w:rsidP="00267AB2">
            <w:pPr>
              <w:pStyle w:val="TableText"/>
              <w:jc w:val="center"/>
            </w:pPr>
            <w:r>
              <w:t xml:space="preserve">Multi-Year Trend Report </w:t>
            </w:r>
          </w:p>
          <w:p w14:paraId="12E11732" w14:textId="77777777" w:rsidR="00CC70FF" w:rsidRDefault="00CC70FF" w:rsidP="00267AB2">
            <w:pPr>
              <w:pStyle w:val="TableText"/>
              <w:jc w:val="center"/>
            </w:pPr>
          </w:p>
          <w:p w14:paraId="20E05D25" w14:textId="3F4BCCCC" w:rsidR="001558FF" w:rsidRDefault="001558FF" w:rsidP="00267AB2">
            <w:pPr>
              <w:pStyle w:val="TableText"/>
              <w:jc w:val="center"/>
            </w:pPr>
            <w:r>
              <w:t xml:space="preserve">LORE </w:t>
            </w:r>
            <w:r>
              <w:br/>
            </w:r>
          </w:p>
        </w:tc>
        <w:tc>
          <w:tcPr>
            <w:tcW w:w="1075" w:type="dxa"/>
          </w:tcPr>
          <w:p w14:paraId="12A49881" w14:textId="77777777" w:rsidR="001558FF" w:rsidRDefault="001558FF" w:rsidP="001558FF">
            <w:pPr>
              <w:pStyle w:val="TableText"/>
            </w:pPr>
          </w:p>
        </w:tc>
      </w:tr>
      <w:tr w:rsidR="001558FF" w14:paraId="15085F8A" w14:textId="4F7B511F" w:rsidTr="00267AB2">
        <w:trPr>
          <w:cantSplit/>
          <w:trHeight w:val="20"/>
          <w:jc w:val="center"/>
        </w:trPr>
        <w:tc>
          <w:tcPr>
            <w:tcW w:w="535" w:type="dxa"/>
            <w:vAlign w:val="center"/>
          </w:tcPr>
          <w:p w14:paraId="5C3EC19E" w14:textId="604385F8" w:rsidR="001558FF" w:rsidRPr="00CB64C0" w:rsidRDefault="001558FF" w:rsidP="00CB64C0">
            <w:pPr>
              <w:pStyle w:val="TableText"/>
              <w:numPr>
                <w:ilvl w:val="0"/>
                <w:numId w:val="43"/>
              </w:numPr>
              <w:ind w:left="0" w:firstLine="0"/>
              <w:jc w:val="center"/>
              <w:rPr>
                <w:color w:val="B5010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76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FD2058" w14:textId="3AAC7B81" w:rsidR="001558FF" w:rsidRDefault="00563681" w:rsidP="001558FF">
            <w:pPr>
              <w:pStyle w:val="Table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Analyze the LORE</w:t>
            </w:r>
            <w:r w:rsidR="003F5F97">
              <w:rPr>
                <w:shd w:val="clear" w:color="auto" w:fill="FFFFFF" w:themeFill="background1"/>
              </w:rPr>
              <w:t>:</w:t>
            </w:r>
          </w:p>
          <w:p w14:paraId="41CE7C8D" w14:textId="3EB755B2" w:rsidR="00563681" w:rsidRDefault="00563681" w:rsidP="00563681">
            <w:pPr>
              <w:pStyle w:val="TableText"/>
              <w:numPr>
                <w:ilvl w:val="0"/>
                <w:numId w:val="30"/>
              </w:numPr>
            </w:pPr>
            <w:r>
              <w:t>Analyze the metrics in which your Market Center is outpacing the Board</w:t>
            </w:r>
            <w:r w:rsidR="00351EDE">
              <w:t>.</w:t>
            </w:r>
          </w:p>
          <w:p w14:paraId="525F59EC" w14:textId="5C8D95C4" w:rsidR="00563681" w:rsidRDefault="00563681" w:rsidP="00563681">
            <w:pPr>
              <w:pStyle w:val="TableText"/>
              <w:numPr>
                <w:ilvl w:val="0"/>
                <w:numId w:val="30"/>
              </w:numPr>
            </w:pPr>
            <w:r>
              <w:t>Compare your Market Center to your Region and Keller Williams Realty at large</w:t>
            </w:r>
            <w:r w:rsidR="00351EDE">
              <w:t>.</w:t>
            </w:r>
          </w:p>
          <w:p w14:paraId="4FC70E9A" w14:textId="5617726D" w:rsidR="00563681" w:rsidRPr="00351EDE" w:rsidRDefault="00563681" w:rsidP="00563681">
            <w:pPr>
              <w:pStyle w:val="TableText"/>
              <w:numPr>
                <w:ilvl w:val="0"/>
                <w:numId w:val="30"/>
              </w:numPr>
              <w:rPr>
                <w:shd w:val="clear" w:color="auto" w:fill="FFFFFF" w:themeFill="background1"/>
              </w:rPr>
            </w:pPr>
            <w:r>
              <w:t>Identify comparisons in which your Market Center shines</w:t>
            </w:r>
            <w:r w:rsidR="00351EDE">
              <w:t>.</w:t>
            </w:r>
          </w:p>
          <w:p w14:paraId="4A158A5C" w14:textId="77777777" w:rsidR="00351EDE" w:rsidRPr="004C4191" w:rsidRDefault="00351EDE" w:rsidP="00563681">
            <w:pPr>
              <w:pStyle w:val="TableText"/>
              <w:numPr>
                <w:ilvl w:val="0"/>
                <w:numId w:val="30"/>
              </w:numPr>
              <w:rPr>
                <w:shd w:val="clear" w:color="auto" w:fill="FFFFFF" w:themeFill="background1"/>
              </w:rPr>
            </w:pPr>
            <w:r>
              <w:t>Identify talking points.</w:t>
            </w:r>
          </w:p>
          <w:p w14:paraId="7F074655" w14:textId="6E939A97" w:rsidR="004C4191" w:rsidRPr="00370491" w:rsidRDefault="004C4191" w:rsidP="00563681">
            <w:pPr>
              <w:pStyle w:val="TableText"/>
              <w:numPr>
                <w:ilvl w:val="0"/>
                <w:numId w:val="30"/>
              </w:numPr>
              <w:rPr>
                <w:shd w:val="clear" w:color="auto" w:fill="FFFFFF" w:themeFill="background1"/>
              </w:rPr>
            </w:pPr>
            <w:r>
              <w:t>Download the Local Expert Tool from the Growth Initiative page of KWConnect under Share Your Story.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DB1BD4" w14:textId="77777777" w:rsidR="001558FF" w:rsidRDefault="00563681" w:rsidP="00267AB2">
            <w:pPr>
              <w:pStyle w:val="TableText"/>
              <w:jc w:val="center"/>
            </w:pPr>
            <w:r>
              <w:t>LORE</w:t>
            </w:r>
          </w:p>
          <w:p w14:paraId="3CC76337" w14:textId="77777777" w:rsidR="00D93073" w:rsidRDefault="00D93073" w:rsidP="00267AB2">
            <w:pPr>
              <w:pStyle w:val="TableText"/>
              <w:jc w:val="center"/>
            </w:pPr>
          </w:p>
          <w:p w14:paraId="48360E98" w14:textId="77777777" w:rsidR="00D93073" w:rsidRDefault="00D93073" w:rsidP="00267AB2">
            <w:pPr>
              <w:pStyle w:val="TableText"/>
              <w:jc w:val="center"/>
            </w:pPr>
            <w:r>
              <w:t>Region Multi-Year Trend Report</w:t>
            </w:r>
          </w:p>
          <w:p w14:paraId="5CDAC059" w14:textId="77777777" w:rsidR="00D93073" w:rsidRDefault="00D93073" w:rsidP="00267AB2">
            <w:pPr>
              <w:pStyle w:val="TableText"/>
              <w:jc w:val="center"/>
            </w:pPr>
          </w:p>
          <w:p w14:paraId="1A5F712C" w14:textId="77777777" w:rsidR="00D93073" w:rsidRDefault="00D93073" w:rsidP="00267AB2">
            <w:pPr>
              <w:pStyle w:val="TableText"/>
              <w:jc w:val="center"/>
            </w:pPr>
            <w:r>
              <w:t>KWRI Multi-Year Trend Report</w:t>
            </w:r>
          </w:p>
          <w:p w14:paraId="5A8560DA" w14:textId="77777777" w:rsidR="00351EDE" w:rsidRDefault="00351EDE" w:rsidP="00267AB2">
            <w:pPr>
              <w:pStyle w:val="TableText"/>
              <w:jc w:val="center"/>
            </w:pPr>
          </w:p>
          <w:p w14:paraId="189130C3" w14:textId="49E16A0E" w:rsidR="00351EDE" w:rsidRDefault="00351EDE" w:rsidP="00267AB2">
            <w:pPr>
              <w:pStyle w:val="TableText"/>
              <w:jc w:val="center"/>
            </w:pPr>
            <w:r>
              <w:t>Growth Initiative page on KWConnect</w:t>
            </w:r>
          </w:p>
        </w:tc>
        <w:tc>
          <w:tcPr>
            <w:tcW w:w="1075" w:type="dxa"/>
          </w:tcPr>
          <w:p w14:paraId="48E3FE4F" w14:textId="77777777" w:rsidR="001558FF" w:rsidRPr="00C3362E" w:rsidRDefault="001558FF" w:rsidP="001558FF">
            <w:pPr>
              <w:pStyle w:val="TableText"/>
            </w:pPr>
          </w:p>
        </w:tc>
      </w:tr>
      <w:tr w:rsidR="001558FF" w14:paraId="72CA5D2C" w14:textId="77777777" w:rsidTr="00267AB2">
        <w:trPr>
          <w:cantSplit/>
          <w:trHeight w:val="20"/>
          <w:jc w:val="center"/>
        </w:trPr>
        <w:tc>
          <w:tcPr>
            <w:tcW w:w="535" w:type="dxa"/>
            <w:vAlign w:val="center"/>
          </w:tcPr>
          <w:p w14:paraId="69D802C2" w14:textId="275466B3" w:rsidR="001558FF" w:rsidRPr="00CB64C0" w:rsidRDefault="001558FF" w:rsidP="00CB64C0">
            <w:pPr>
              <w:pStyle w:val="TableText"/>
              <w:numPr>
                <w:ilvl w:val="0"/>
                <w:numId w:val="43"/>
              </w:numPr>
              <w:ind w:left="0" w:firstLine="0"/>
              <w:jc w:val="center"/>
              <w:rPr>
                <w:color w:val="B5010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76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5858D1" w14:textId="060ACA99" w:rsidR="00563681" w:rsidRDefault="003F5F97" w:rsidP="009F156C">
            <w:pPr>
              <w:pStyle w:val="Table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Create the</w:t>
            </w:r>
            <w:r w:rsidR="00563681">
              <w:rPr>
                <w:shd w:val="clear" w:color="auto" w:fill="FFFFFF" w:themeFill="background1"/>
              </w:rPr>
              <w:t xml:space="preserve"> </w:t>
            </w:r>
            <w:r>
              <w:rPr>
                <w:shd w:val="clear" w:color="auto" w:fill="FFFFFF" w:themeFill="background1"/>
              </w:rPr>
              <w:t xml:space="preserve">Month’s </w:t>
            </w:r>
            <w:r w:rsidR="00563681">
              <w:rPr>
                <w:shd w:val="clear" w:color="auto" w:fill="FFFFFF" w:themeFill="background1"/>
              </w:rPr>
              <w:t xml:space="preserve">Training and Tracking </w:t>
            </w:r>
            <w:r w:rsidR="007C2F3C">
              <w:rPr>
                <w:shd w:val="clear" w:color="auto" w:fill="FFFFFF" w:themeFill="background1"/>
              </w:rPr>
              <w:t>(</w:t>
            </w:r>
            <w:r w:rsidR="00563681">
              <w:rPr>
                <w:shd w:val="clear" w:color="auto" w:fill="FFFFFF" w:themeFill="background1"/>
              </w:rPr>
              <w:t>T</w:t>
            </w:r>
            <w:r w:rsidR="007C2F3C" w:rsidRPr="00563681">
              <w:rPr>
                <w:shd w:val="clear" w:color="auto" w:fill="FFFFFF" w:themeFill="background1"/>
                <w:vertAlign w:val="superscript"/>
              </w:rPr>
              <w:t>2</w:t>
            </w:r>
            <w:r w:rsidR="007C2F3C">
              <w:rPr>
                <w:shd w:val="clear" w:color="auto" w:fill="FFFFFF" w:themeFill="background1"/>
              </w:rPr>
              <w:t>)</w:t>
            </w:r>
            <w:r>
              <w:rPr>
                <w:shd w:val="clear" w:color="auto" w:fill="FFFFFF" w:themeFill="background1"/>
              </w:rPr>
              <w:t>:</w:t>
            </w:r>
          </w:p>
          <w:p w14:paraId="7298B956" w14:textId="6579370E" w:rsidR="003F5F97" w:rsidRPr="003F5F97" w:rsidRDefault="000D21AB" w:rsidP="003F5F97">
            <w:pPr>
              <w:pStyle w:val="ListParagraph"/>
              <w:numPr>
                <w:ilvl w:val="0"/>
                <w:numId w:val="31"/>
              </w:numPr>
              <w:rPr>
                <w:rFonts w:eastAsia="Times New Roman" w:cs="Arial"/>
                <w:sz w:val="24"/>
                <w:szCs w:val="24"/>
              </w:rPr>
            </w:pPr>
            <w:r>
              <w:t>Have a staff member take attendance at each training event.</w:t>
            </w:r>
          </w:p>
          <w:p w14:paraId="062C6A88" w14:textId="0CF0A339" w:rsidR="003F5F97" w:rsidRDefault="000D21AB" w:rsidP="003F5F97">
            <w:pPr>
              <w:pStyle w:val="TableText"/>
              <w:numPr>
                <w:ilvl w:val="0"/>
                <w:numId w:val="31"/>
              </w:numPr>
            </w:pPr>
            <w:r>
              <w:t>Record attendance on the KWConnect Calendar by going to kwconnect &gt; Profile &gt; My Events.</w:t>
            </w:r>
          </w:p>
          <w:p w14:paraId="4857AB3B" w14:textId="06B283B9" w:rsidR="003F5F97" w:rsidRDefault="00CF43B7" w:rsidP="003F5F97">
            <w:pPr>
              <w:pStyle w:val="TableText"/>
              <w:numPr>
                <w:ilvl w:val="0"/>
                <w:numId w:val="31"/>
              </w:numPr>
            </w:pPr>
            <w:hyperlink r:id="rId10" w:history="1">
              <w:r w:rsidR="000D21AB" w:rsidRPr="00575CE2">
                <w:rPr>
                  <w:rStyle w:val="Hyperlink"/>
                </w:rPr>
                <w:t>Run your Training Tracker (T2) results</w:t>
              </w:r>
            </w:hyperlink>
            <w:r w:rsidR="000D21AB">
              <w:t xml:space="preserve"> by going to KWConnect &gt; Profile &gt; My Reports.</w:t>
            </w:r>
          </w:p>
          <w:p w14:paraId="1EEEBBBF" w14:textId="097404A9" w:rsidR="003F5F97" w:rsidRPr="00370491" w:rsidRDefault="000D21AB" w:rsidP="003F5F97">
            <w:pPr>
              <w:pStyle w:val="TableText"/>
              <w:numPr>
                <w:ilvl w:val="0"/>
                <w:numId w:val="31"/>
              </w:numPr>
              <w:rPr>
                <w:shd w:val="clear" w:color="auto" w:fill="FFFFFF" w:themeFill="background1"/>
              </w:rPr>
            </w:pPr>
            <w:r>
              <w:t>Use your results to update the Training Tracker Flier found on the Growth Initiative Page of KWConnect under Share Your Story.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B17C3C" w14:textId="77777777" w:rsidR="000D21AB" w:rsidRDefault="003F5F97" w:rsidP="00351EDE">
            <w:pPr>
              <w:pStyle w:val="TableText"/>
              <w:jc w:val="center"/>
              <w:rPr>
                <w:vertAlign w:val="superscript"/>
              </w:rPr>
            </w:pPr>
            <w:r>
              <w:t>T</w:t>
            </w:r>
            <w:r w:rsidRPr="003F5F97">
              <w:rPr>
                <w:vertAlign w:val="superscript"/>
              </w:rPr>
              <w:t>2</w:t>
            </w:r>
          </w:p>
          <w:p w14:paraId="10FA38F1" w14:textId="42E38091" w:rsidR="001558FF" w:rsidRDefault="003F5F97" w:rsidP="00351EDE">
            <w:pPr>
              <w:pStyle w:val="TableText"/>
              <w:jc w:val="center"/>
            </w:pPr>
            <w:r>
              <w:br/>
            </w:r>
            <w:r w:rsidR="000D21AB">
              <w:t>Growth Initiative page on KWConnect</w:t>
            </w:r>
          </w:p>
          <w:p w14:paraId="6A671F49" w14:textId="77777777" w:rsidR="000D21AB" w:rsidRDefault="000D21AB" w:rsidP="00351EDE">
            <w:pPr>
              <w:pStyle w:val="TableText"/>
              <w:jc w:val="center"/>
            </w:pPr>
          </w:p>
          <w:p w14:paraId="47A55E1C" w14:textId="7A42C660" w:rsidR="000D21AB" w:rsidRDefault="000D21AB" w:rsidP="00351EDE">
            <w:pPr>
              <w:pStyle w:val="TableText"/>
              <w:jc w:val="center"/>
            </w:pPr>
            <w:r>
              <w:t>MCA Profile page on KWConnect</w:t>
            </w:r>
          </w:p>
        </w:tc>
        <w:tc>
          <w:tcPr>
            <w:tcW w:w="1075" w:type="dxa"/>
          </w:tcPr>
          <w:p w14:paraId="2E183C34" w14:textId="77777777" w:rsidR="001558FF" w:rsidRPr="00C3362E" w:rsidRDefault="001558FF" w:rsidP="001558FF">
            <w:pPr>
              <w:pStyle w:val="TableText"/>
            </w:pPr>
          </w:p>
        </w:tc>
      </w:tr>
      <w:tr w:rsidR="003576CF" w14:paraId="49A4EE3D" w14:textId="77777777" w:rsidTr="00267AB2">
        <w:trPr>
          <w:cantSplit/>
          <w:trHeight w:val="20"/>
          <w:jc w:val="center"/>
        </w:trPr>
        <w:tc>
          <w:tcPr>
            <w:tcW w:w="535" w:type="dxa"/>
            <w:vAlign w:val="center"/>
          </w:tcPr>
          <w:p w14:paraId="13948229" w14:textId="77777777" w:rsidR="003576CF" w:rsidRPr="00CB64C0" w:rsidRDefault="003576CF" w:rsidP="00CB64C0">
            <w:pPr>
              <w:pStyle w:val="TableText"/>
              <w:numPr>
                <w:ilvl w:val="0"/>
                <w:numId w:val="43"/>
              </w:numPr>
              <w:ind w:left="0" w:firstLine="0"/>
              <w:jc w:val="center"/>
              <w:rPr>
                <w:color w:val="B5010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76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78F2A9" w14:textId="3AA82426" w:rsidR="003576CF" w:rsidRDefault="003576CF" w:rsidP="003576CF">
            <w:pPr>
              <w:pStyle w:val="Table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Review associate CGI goals</w:t>
            </w:r>
            <w:r w:rsidR="00575CE2">
              <w:rPr>
                <w:shd w:val="clear" w:color="auto" w:fill="FFFFFF" w:themeFill="background1"/>
              </w:rPr>
              <w:t xml:space="preserve"> by downloading the reports located under Reports &gt; CGI on myKW Reports</w:t>
            </w:r>
            <w:r>
              <w:rPr>
                <w:shd w:val="clear" w:color="auto" w:fill="FFFFFF" w:themeFill="background1"/>
              </w:rPr>
              <w:t xml:space="preserve">. Identify the following: </w:t>
            </w:r>
          </w:p>
          <w:p w14:paraId="2947EA36" w14:textId="1CAFD5C7" w:rsidR="003576CF" w:rsidRDefault="003576CF" w:rsidP="003576CF">
            <w:pPr>
              <w:pStyle w:val="TableText"/>
              <w:numPr>
                <w:ilvl w:val="0"/>
                <w:numId w:val="36"/>
              </w:num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Number and percentage of associates who have goals </w:t>
            </w:r>
          </w:p>
          <w:p w14:paraId="7B3AE5EC" w14:textId="20A8F190" w:rsidR="003576CF" w:rsidRDefault="003576CF" w:rsidP="003576CF">
            <w:pPr>
              <w:pStyle w:val="TableText"/>
              <w:numPr>
                <w:ilvl w:val="0"/>
                <w:numId w:val="36"/>
              </w:num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Associates who are on track to achieve their CGI goals</w:t>
            </w:r>
          </w:p>
          <w:p w14:paraId="435211EC" w14:textId="0C47D29E" w:rsidR="003576CF" w:rsidRDefault="003576CF" w:rsidP="00546632">
            <w:pPr>
              <w:pStyle w:val="TableText"/>
              <w:numPr>
                <w:ilvl w:val="0"/>
                <w:numId w:val="36"/>
              </w:num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Associates who are not on track to achieve their CGI goals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8658F6" w14:textId="2CC804DB" w:rsidR="003576CF" w:rsidRDefault="00575CE2" w:rsidP="00267AB2">
            <w:pPr>
              <w:pStyle w:val="TableText"/>
              <w:jc w:val="center"/>
            </w:pPr>
            <w:r>
              <w:t>myKW Reports</w:t>
            </w:r>
          </w:p>
        </w:tc>
        <w:tc>
          <w:tcPr>
            <w:tcW w:w="1075" w:type="dxa"/>
          </w:tcPr>
          <w:p w14:paraId="430FA11F" w14:textId="77777777" w:rsidR="003576CF" w:rsidRPr="00C3362E" w:rsidRDefault="003576CF" w:rsidP="001558FF">
            <w:pPr>
              <w:pStyle w:val="TableText"/>
            </w:pPr>
          </w:p>
        </w:tc>
      </w:tr>
      <w:tr w:rsidR="001558FF" w14:paraId="37C5FCF9" w14:textId="77777777" w:rsidTr="00267AB2">
        <w:trPr>
          <w:cantSplit/>
          <w:trHeight w:val="20"/>
          <w:jc w:val="center"/>
        </w:trPr>
        <w:tc>
          <w:tcPr>
            <w:tcW w:w="535" w:type="dxa"/>
            <w:vAlign w:val="center"/>
          </w:tcPr>
          <w:p w14:paraId="1AB3BFC0" w14:textId="6BF49A6C" w:rsidR="001558FF" w:rsidRPr="00CB64C0" w:rsidRDefault="001558FF" w:rsidP="00CB64C0">
            <w:pPr>
              <w:pStyle w:val="TableText"/>
              <w:numPr>
                <w:ilvl w:val="0"/>
                <w:numId w:val="43"/>
              </w:numPr>
              <w:ind w:left="0" w:firstLine="0"/>
              <w:jc w:val="center"/>
              <w:rPr>
                <w:color w:val="B5010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76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A954E1" w14:textId="369CEACD" w:rsidR="001558FF" w:rsidRDefault="00206E3D" w:rsidP="001558FF">
            <w:pPr>
              <w:pStyle w:val="Table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Market Center leadership </w:t>
            </w:r>
            <w:r w:rsidR="00D93073">
              <w:rPr>
                <w:shd w:val="clear" w:color="auto" w:fill="FFFFFF" w:themeFill="background1"/>
              </w:rPr>
              <w:t>(OP, TL, MCA) meet</w:t>
            </w:r>
            <w:r w:rsidR="00CA7039">
              <w:rPr>
                <w:shd w:val="clear" w:color="auto" w:fill="FFFFFF" w:themeFill="background1"/>
              </w:rPr>
              <w:t>s</w:t>
            </w:r>
            <w:r w:rsidR="00D93073">
              <w:rPr>
                <w:shd w:val="clear" w:color="auto" w:fill="FFFFFF" w:themeFill="background1"/>
              </w:rPr>
              <w:t xml:space="preserve"> to identify the value statements </w:t>
            </w:r>
            <w:r w:rsidR="00CF5CF7">
              <w:rPr>
                <w:shd w:val="clear" w:color="auto" w:fill="FFFFFF" w:themeFill="background1"/>
              </w:rPr>
              <w:t xml:space="preserve">and scripts </w:t>
            </w:r>
            <w:r w:rsidR="00D93073">
              <w:rPr>
                <w:shd w:val="clear" w:color="auto" w:fill="FFFFFF" w:themeFill="background1"/>
              </w:rPr>
              <w:t>for the month.</w:t>
            </w:r>
          </w:p>
          <w:p w14:paraId="78BB7F79" w14:textId="0EE37693" w:rsidR="00D93073" w:rsidRPr="00D93073" w:rsidRDefault="00D93073" w:rsidP="00D93073">
            <w:pPr>
              <w:pStyle w:val="TableText"/>
              <w:numPr>
                <w:ilvl w:val="0"/>
                <w:numId w:val="34"/>
              </w:numPr>
            </w:pPr>
            <w:r w:rsidRPr="00D93073">
              <w:t>MCA shares analysis of value tools</w:t>
            </w:r>
          </w:p>
          <w:p w14:paraId="5A34A4BD" w14:textId="22E0A588" w:rsidR="00D93073" w:rsidRDefault="00D93073" w:rsidP="00D93073">
            <w:pPr>
              <w:pStyle w:val="TableText"/>
              <w:numPr>
                <w:ilvl w:val="0"/>
                <w:numId w:val="34"/>
              </w:num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Leadership team identifies Market Center value statements for the month. </w:t>
            </w:r>
          </w:p>
          <w:p w14:paraId="67968D1A" w14:textId="77777777" w:rsidR="00D93073" w:rsidRDefault="00D93073" w:rsidP="00D93073">
            <w:pPr>
              <w:pStyle w:val="TableText"/>
              <w:numPr>
                <w:ilvl w:val="0"/>
                <w:numId w:val="34"/>
              </w:num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Leadership team identifies scripts </w:t>
            </w:r>
            <w:r w:rsidRPr="00D93073">
              <w:rPr>
                <w:b/>
                <w:u w:val="single"/>
                <w:shd w:val="clear" w:color="auto" w:fill="FFFFFF" w:themeFill="background1"/>
              </w:rPr>
              <w:t>agents</w:t>
            </w:r>
            <w:r>
              <w:rPr>
                <w:shd w:val="clear" w:color="auto" w:fill="FFFFFF" w:themeFill="background1"/>
              </w:rPr>
              <w:t xml:space="preserve"> can use when talking with their clients to describe the Market Center’s market share and to underscore their validity.</w:t>
            </w:r>
          </w:p>
          <w:p w14:paraId="651026C5" w14:textId="77777777" w:rsidR="00D93073" w:rsidRDefault="00D93073" w:rsidP="00D93073">
            <w:pPr>
              <w:pStyle w:val="TableText"/>
              <w:numPr>
                <w:ilvl w:val="0"/>
                <w:numId w:val="34"/>
              </w:num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Leadership team identifies scripts </w:t>
            </w:r>
            <w:r w:rsidRPr="00D93073">
              <w:rPr>
                <w:shd w:val="clear" w:color="auto" w:fill="FFFFFF" w:themeFill="background1"/>
              </w:rPr>
              <w:t>from the T</w:t>
            </w:r>
            <w:r w:rsidRPr="00D93073">
              <w:rPr>
                <w:shd w:val="clear" w:color="auto" w:fill="FFFFFF" w:themeFill="background1"/>
                <w:vertAlign w:val="superscript"/>
              </w:rPr>
              <w:t>2</w:t>
            </w:r>
            <w:r w:rsidRPr="00D93073">
              <w:rPr>
                <w:shd w:val="clear" w:color="auto" w:fill="FFFFFF" w:themeFill="background1"/>
              </w:rPr>
              <w:t xml:space="preserve"> Market Center leadership can use to support the impact of the Keller Williams training and KW MAPS Coaching as production solutions.</w:t>
            </w:r>
          </w:p>
          <w:p w14:paraId="056D88B7" w14:textId="547985D4" w:rsidR="00206E3D" w:rsidRDefault="00206E3D" w:rsidP="00D93073">
            <w:pPr>
              <w:pStyle w:val="TableText"/>
              <w:numPr>
                <w:ilvl w:val="0"/>
                <w:numId w:val="34"/>
              </w:num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Leadership team identifies </w:t>
            </w:r>
            <w:hyperlink r:id="rId11" w:history="1">
              <w:r w:rsidRPr="00575CE2">
                <w:rPr>
                  <w:rStyle w:val="Hyperlink"/>
                  <w:shd w:val="clear" w:color="auto" w:fill="FFFFFF" w:themeFill="background1"/>
                </w:rPr>
                <w:t>scripts</w:t>
              </w:r>
            </w:hyperlink>
            <w:r>
              <w:rPr>
                <w:shd w:val="clear" w:color="auto" w:fill="FFFFFF" w:themeFill="background1"/>
              </w:rPr>
              <w:t xml:space="preserve"> Market Center staff can use to share the Market Center’s value with agents.</w:t>
            </w:r>
          </w:p>
          <w:p w14:paraId="7CCFE9B6" w14:textId="5824DB04" w:rsidR="00CF5CF7" w:rsidRPr="00370491" w:rsidRDefault="00CF5CF7" w:rsidP="00D93073">
            <w:pPr>
              <w:pStyle w:val="TableText"/>
              <w:numPr>
                <w:ilvl w:val="0"/>
                <w:numId w:val="34"/>
              </w:num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Leadership team identifies </w:t>
            </w:r>
            <w:hyperlink r:id="rId12" w:history="1">
              <w:r w:rsidRPr="00575CE2">
                <w:rPr>
                  <w:rStyle w:val="Hyperlink"/>
                  <w:shd w:val="clear" w:color="auto" w:fill="FFFFFF" w:themeFill="background1"/>
                </w:rPr>
                <w:t>recruiting scripts</w:t>
              </w:r>
            </w:hyperlink>
            <w:r>
              <w:rPr>
                <w:shd w:val="clear" w:color="auto" w:fill="FFFFFF" w:themeFill="background1"/>
              </w:rPr>
              <w:t xml:space="preserve"> that incorporate the Market Center’s value.</w:t>
            </w:r>
            <w:r w:rsidR="00575CE2">
              <w:rPr>
                <w:shd w:val="clear" w:color="auto" w:fill="FFFFFF" w:themeFill="background1"/>
              </w:rPr>
              <w:t xml:space="preserve"> See the Growth Initiative page on KWConnect &gt; Role Specific Resources.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C253C5" w14:textId="1EACB5CA" w:rsidR="00351EDE" w:rsidRDefault="00351EDE" w:rsidP="00267AB2">
            <w:pPr>
              <w:pStyle w:val="TableText"/>
              <w:jc w:val="center"/>
              <w:rPr>
                <w:rFonts w:eastAsiaTheme="minorHAnsi" w:cstheme="minorBidi"/>
                <w:sz w:val="22"/>
                <w:szCs w:val="22"/>
              </w:rPr>
            </w:pPr>
            <w:r>
              <w:t>M</w:t>
            </w:r>
            <w:r w:rsidRPr="001558FF">
              <w:rPr>
                <w:rFonts w:eastAsiaTheme="minorHAnsi" w:cstheme="minorBidi"/>
                <w:sz w:val="22"/>
                <w:szCs w:val="22"/>
              </w:rPr>
              <w:t>ulti-Year Trend Report</w:t>
            </w:r>
          </w:p>
          <w:p w14:paraId="62C6B669" w14:textId="77777777" w:rsidR="00351EDE" w:rsidRDefault="00351EDE" w:rsidP="00267AB2">
            <w:pPr>
              <w:pStyle w:val="TableText"/>
              <w:jc w:val="center"/>
              <w:rPr>
                <w:rFonts w:eastAsiaTheme="minorHAnsi" w:cstheme="minorBidi"/>
                <w:sz w:val="22"/>
                <w:szCs w:val="22"/>
              </w:rPr>
            </w:pPr>
          </w:p>
          <w:p w14:paraId="7C50C48A" w14:textId="77777777" w:rsidR="00351EDE" w:rsidRDefault="00351EDE" w:rsidP="00267AB2">
            <w:pPr>
              <w:pStyle w:val="TableText"/>
              <w:jc w:val="center"/>
              <w:rPr>
                <w:rFonts w:eastAsiaTheme="minorHAnsi" w:cstheme="minorBidi"/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</w:rPr>
              <w:t>LORE</w:t>
            </w:r>
          </w:p>
          <w:p w14:paraId="4190DFA3" w14:textId="77777777" w:rsidR="00351EDE" w:rsidRDefault="00351EDE" w:rsidP="00267AB2">
            <w:pPr>
              <w:pStyle w:val="TableText"/>
              <w:jc w:val="center"/>
              <w:rPr>
                <w:rFonts w:eastAsiaTheme="minorHAnsi" w:cstheme="minorBidi"/>
                <w:sz w:val="22"/>
                <w:szCs w:val="22"/>
              </w:rPr>
            </w:pPr>
          </w:p>
          <w:p w14:paraId="51F5BC34" w14:textId="77777777" w:rsidR="00351EDE" w:rsidRDefault="00351EDE" w:rsidP="00267AB2">
            <w:pPr>
              <w:pStyle w:val="TableText"/>
              <w:jc w:val="center"/>
              <w:rPr>
                <w:rFonts w:eastAsiaTheme="minorHAnsi" w:cstheme="minorBidi"/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</w:rPr>
              <w:t>T</w:t>
            </w:r>
            <w:r w:rsidRPr="00351EDE">
              <w:rPr>
                <w:rFonts w:eastAsiaTheme="minorHAnsi" w:cstheme="minorBidi"/>
                <w:sz w:val="22"/>
                <w:szCs w:val="22"/>
                <w:vertAlign w:val="superscript"/>
              </w:rPr>
              <w:t>2</w:t>
            </w:r>
          </w:p>
          <w:p w14:paraId="5B41FA05" w14:textId="77777777" w:rsidR="00351EDE" w:rsidRDefault="00351EDE" w:rsidP="00267AB2">
            <w:pPr>
              <w:pStyle w:val="TableText"/>
              <w:jc w:val="center"/>
            </w:pPr>
          </w:p>
          <w:p w14:paraId="5AB6C7C4" w14:textId="77777777" w:rsidR="001558FF" w:rsidRDefault="00351EDE" w:rsidP="00267AB2">
            <w:pPr>
              <w:pStyle w:val="TableText"/>
              <w:jc w:val="center"/>
            </w:pPr>
            <w:r>
              <w:t>Growth Initiative page on KWConnect</w:t>
            </w:r>
          </w:p>
          <w:p w14:paraId="650E4036" w14:textId="77777777" w:rsidR="00351EDE" w:rsidRDefault="00351EDE" w:rsidP="00267AB2">
            <w:pPr>
              <w:pStyle w:val="TableText"/>
              <w:jc w:val="center"/>
            </w:pPr>
          </w:p>
          <w:p w14:paraId="4F45D777" w14:textId="64C5EEFF" w:rsidR="00351EDE" w:rsidRDefault="00351EDE" w:rsidP="00267AB2">
            <w:pPr>
              <w:pStyle w:val="TableText"/>
              <w:jc w:val="center"/>
            </w:pPr>
          </w:p>
        </w:tc>
        <w:tc>
          <w:tcPr>
            <w:tcW w:w="1075" w:type="dxa"/>
          </w:tcPr>
          <w:p w14:paraId="4567BCE2" w14:textId="77777777" w:rsidR="001558FF" w:rsidRPr="00C3362E" w:rsidRDefault="001558FF" w:rsidP="001558FF">
            <w:pPr>
              <w:pStyle w:val="TableText"/>
            </w:pPr>
          </w:p>
        </w:tc>
      </w:tr>
      <w:tr w:rsidR="00D02CC1" w14:paraId="53D741C0" w14:textId="77777777" w:rsidTr="00267AB2">
        <w:trPr>
          <w:cantSplit/>
          <w:trHeight w:val="20"/>
          <w:jc w:val="center"/>
        </w:trPr>
        <w:tc>
          <w:tcPr>
            <w:tcW w:w="535" w:type="dxa"/>
            <w:vAlign w:val="center"/>
          </w:tcPr>
          <w:p w14:paraId="7B12C1EB" w14:textId="0D217793" w:rsidR="00D02CC1" w:rsidRPr="00CB64C0" w:rsidRDefault="00D02CC1" w:rsidP="00CB64C0">
            <w:pPr>
              <w:pStyle w:val="TableText"/>
              <w:numPr>
                <w:ilvl w:val="0"/>
                <w:numId w:val="43"/>
              </w:numPr>
              <w:ind w:left="0" w:firstLine="0"/>
              <w:jc w:val="center"/>
              <w:rPr>
                <w:color w:val="B5010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76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0527B9" w14:textId="5C318D3E" w:rsidR="00D02CC1" w:rsidRDefault="00D02CC1" w:rsidP="00CA7039">
            <w:pPr>
              <w:pStyle w:val="Table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Market Center leadership (OP, TL, MCA)</w:t>
            </w:r>
            <w:r w:rsidR="00CA7039">
              <w:rPr>
                <w:shd w:val="clear" w:color="auto" w:fill="FFFFFF" w:themeFill="background1"/>
              </w:rPr>
              <w:t xml:space="preserve"> identif</w:t>
            </w:r>
            <w:r w:rsidR="00351EDE">
              <w:rPr>
                <w:shd w:val="clear" w:color="auto" w:fill="FFFFFF" w:themeFill="background1"/>
              </w:rPr>
              <w:t>ies</w:t>
            </w:r>
            <w:r w:rsidR="00CA7039">
              <w:rPr>
                <w:shd w:val="clear" w:color="auto" w:fill="FFFFFF" w:themeFill="background1"/>
              </w:rPr>
              <w:t xml:space="preserve"> </w:t>
            </w:r>
            <w:r w:rsidR="00351EDE">
              <w:rPr>
                <w:shd w:val="clear" w:color="auto" w:fill="FFFFFF" w:themeFill="background1"/>
              </w:rPr>
              <w:t>strategies to</w:t>
            </w:r>
            <w:r w:rsidR="00CA7039">
              <w:rPr>
                <w:shd w:val="clear" w:color="auto" w:fill="FFFFFF" w:themeFill="background1"/>
              </w:rPr>
              <w:t xml:space="preserve"> improve the Market Center’s value</w:t>
            </w:r>
            <w:r w:rsidR="00A95720">
              <w:rPr>
                <w:shd w:val="clear" w:color="auto" w:fill="FFFFFF" w:themeFill="background1"/>
              </w:rPr>
              <w:t xml:space="preserve"> for the following</w:t>
            </w:r>
            <w:r w:rsidR="00351EDE">
              <w:rPr>
                <w:shd w:val="clear" w:color="auto" w:fill="FFFFFF" w:themeFill="background1"/>
              </w:rPr>
              <w:t>:</w:t>
            </w:r>
            <w:r w:rsidR="00CA7039">
              <w:rPr>
                <w:shd w:val="clear" w:color="auto" w:fill="FFFFFF" w:themeFill="background1"/>
              </w:rPr>
              <w:t xml:space="preserve"> </w:t>
            </w:r>
          </w:p>
          <w:p w14:paraId="0799732F" w14:textId="5542E80A" w:rsidR="00476E6E" w:rsidRDefault="00476E6E" w:rsidP="00546632">
            <w:pPr>
              <w:pStyle w:val="TableText"/>
              <w:numPr>
                <w:ilvl w:val="0"/>
                <w:numId w:val="38"/>
              </w:num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Associates whose production has fallen as identified in validating Cap Management</w:t>
            </w:r>
          </w:p>
          <w:p w14:paraId="31D1A52C" w14:textId="573FCAB5" w:rsidR="00CA7039" w:rsidRDefault="003576CF" w:rsidP="00546632">
            <w:pPr>
              <w:pStyle w:val="TableText"/>
              <w:numPr>
                <w:ilvl w:val="0"/>
                <w:numId w:val="38"/>
              </w:num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Number and percentage of a</w:t>
            </w:r>
            <w:r w:rsidR="00CA7039">
              <w:rPr>
                <w:shd w:val="clear" w:color="auto" w:fill="FFFFFF" w:themeFill="background1"/>
              </w:rPr>
              <w:t>ssociates with CGI Goals</w:t>
            </w:r>
          </w:p>
          <w:p w14:paraId="57A2F12D" w14:textId="6E6033A7" w:rsidR="00CA7039" w:rsidRDefault="003576CF" w:rsidP="00546632">
            <w:pPr>
              <w:pStyle w:val="TableText"/>
              <w:numPr>
                <w:ilvl w:val="0"/>
                <w:numId w:val="38"/>
              </w:num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Associates who are</w:t>
            </w:r>
            <w:r w:rsidR="00CA7039">
              <w:rPr>
                <w:shd w:val="clear" w:color="auto" w:fill="FFFFFF" w:themeFill="background1"/>
              </w:rPr>
              <w:t xml:space="preserve"> </w:t>
            </w:r>
            <w:r>
              <w:rPr>
                <w:shd w:val="clear" w:color="auto" w:fill="FFFFFF" w:themeFill="background1"/>
              </w:rPr>
              <w:t>achieving</w:t>
            </w:r>
            <w:r w:rsidR="00CA7039">
              <w:rPr>
                <w:shd w:val="clear" w:color="auto" w:fill="FFFFFF" w:themeFill="background1"/>
              </w:rPr>
              <w:t xml:space="preserve"> CGI Goals</w:t>
            </w:r>
          </w:p>
          <w:p w14:paraId="1722FE0B" w14:textId="08D14B14" w:rsidR="003576CF" w:rsidRDefault="003576CF" w:rsidP="00546632">
            <w:pPr>
              <w:pStyle w:val="TableText"/>
              <w:numPr>
                <w:ilvl w:val="0"/>
                <w:numId w:val="38"/>
              </w:num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Associates who are not achieving CGI Goals</w:t>
            </w:r>
          </w:p>
          <w:p w14:paraId="3C3E304D" w14:textId="36747EA1" w:rsidR="00CA7039" w:rsidRDefault="00CA7039" w:rsidP="00546632">
            <w:pPr>
              <w:pStyle w:val="TableText"/>
              <w:numPr>
                <w:ilvl w:val="0"/>
                <w:numId w:val="38"/>
              </w:num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Associates </w:t>
            </w:r>
            <w:r w:rsidR="00351EDE">
              <w:rPr>
                <w:shd w:val="clear" w:color="auto" w:fill="FFFFFF" w:themeFill="background1"/>
              </w:rPr>
              <w:t xml:space="preserve">on the Cap Management tool </w:t>
            </w:r>
            <w:r>
              <w:rPr>
                <w:shd w:val="clear" w:color="auto" w:fill="FFFFFF" w:themeFill="background1"/>
              </w:rPr>
              <w:t xml:space="preserve">who are </w:t>
            </w:r>
            <w:r w:rsidR="003576CF">
              <w:rPr>
                <w:shd w:val="clear" w:color="auto" w:fill="FFFFFF" w:themeFill="background1"/>
              </w:rPr>
              <w:t>90 days out from crossing their Company Dollar Anniversary Date</w:t>
            </w:r>
          </w:p>
          <w:p w14:paraId="4910267C" w14:textId="5164BE3B" w:rsidR="003576CF" w:rsidRDefault="00476E6E" w:rsidP="00546632">
            <w:pPr>
              <w:pStyle w:val="TableText"/>
              <w:numPr>
                <w:ilvl w:val="0"/>
                <w:numId w:val="38"/>
              </w:num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Opportunities identified in analyzing the Multi-Year Trend Report</w:t>
            </w:r>
          </w:p>
          <w:p w14:paraId="3FE9C317" w14:textId="77777777" w:rsidR="00476E6E" w:rsidRDefault="00476E6E" w:rsidP="00546632">
            <w:pPr>
              <w:pStyle w:val="TableText"/>
              <w:numPr>
                <w:ilvl w:val="0"/>
                <w:numId w:val="38"/>
              </w:num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Opportunities identified in analyzing the LORE Tool</w:t>
            </w:r>
          </w:p>
          <w:p w14:paraId="74046501" w14:textId="77777777" w:rsidR="00476E6E" w:rsidRDefault="00476E6E" w:rsidP="00546632">
            <w:pPr>
              <w:pStyle w:val="TableText"/>
              <w:numPr>
                <w:ilvl w:val="0"/>
                <w:numId w:val="38"/>
              </w:num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Opportunities identified in analyzing T</w:t>
            </w:r>
            <w:r w:rsidRPr="00476E6E">
              <w:rPr>
                <w:shd w:val="clear" w:color="auto" w:fill="FFFFFF" w:themeFill="background1"/>
                <w:vertAlign w:val="superscript"/>
              </w:rPr>
              <w:t>2</w:t>
            </w:r>
            <w:r>
              <w:rPr>
                <w:shd w:val="clear" w:color="auto" w:fill="FFFFFF" w:themeFill="background1"/>
              </w:rPr>
              <w:t xml:space="preserve"> </w:t>
            </w:r>
          </w:p>
          <w:p w14:paraId="4FAAC243" w14:textId="77777777" w:rsidR="00351EDE" w:rsidRDefault="00351EDE" w:rsidP="00351EDE">
            <w:pPr>
              <w:pStyle w:val="TableText"/>
              <w:rPr>
                <w:shd w:val="clear" w:color="auto" w:fill="FFFFFF" w:themeFill="background1"/>
              </w:rPr>
            </w:pPr>
          </w:p>
          <w:p w14:paraId="19A6515B" w14:textId="32DA6F31" w:rsidR="00351EDE" w:rsidRDefault="00351EDE" w:rsidP="00351EDE">
            <w:pPr>
              <w:pStyle w:val="Table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Utilize the following consistency in activity; by focusing on units, not volume; KW Training and KW MAPS Coaching; and systems for associates to create CGI goals and engage in ongoing accountability conversations: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2B1FF7" w14:textId="77777777" w:rsidR="00351EDE" w:rsidRDefault="00351EDE" w:rsidP="00267AB2">
            <w:pPr>
              <w:pStyle w:val="TableText"/>
              <w:jc w:val="center"/>
              <w:rPr>
                <w:rFonts w:eastAsiaTheme="minorHAnsi" w:cstheme="minorBidi"/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</w:rPr>
              <w:t>Validated Cap Management Tool</w:t>
            </w:r>
          </w:p>
          <w:p w14:paraId="3D40A99F" w14:textId="77777777" w:rsidR="00351EDE" w:rsidRDefault="00351EDE" w:rsidP="00267AB2">
            <w:pPr>
              <w:pStyle w:val="TableText"/>
              <w:jc w:val="center"/>
              <w:rPr>
                <w:rFonts w:eastAsiaTheme="minorHAnsi" w:cstheme="minorBidi"/>
                <w:sz w:val="22"/>
                <w:szCs w:val="22"/>
              </w:rPr>
            </w:pPr>
          </w:p>
          <w:p w14:paraId="055DB203" w14:textId="77777777" w:rsidR="00351EDE" w:rsidRDefault="00351EDE" w:rsidP="00267AB2">
            <w:pPr>
              <w:pStyle w:val="TableText"/>
              <w:jc w:val="center"/>
              <w:rPr>
                <w:rFonts w:eastAsiaTheme="minorHAnsi" w:cstheme="minorBidi"/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</w:rPr>
              <w:t xml:space="preserve">CGI Calculator </w:t>
            </w:r>
          </w:p>
          <w:p w14:paraId="295DF35F" w14:textId="77777777" w:rsidR="00351EDE" w:rsidRDefault="00351EDE" w:rsidP="00351EDE">
            <w:pPr>
              <w:pStyle w:val="TableText"/>
              <w:jc w:val="center"/>
              <w:rPr>
                <w:rFonts w:eastAsiaTheme="minorHAnsi" w:cstheme="minorBidi"/>
                <w:sz w:val="22"/>
                <w:szCs w:val="22"/>
              </w:rPr>
            </w:pPr>
            <w:r>
              <w:t>M</w:t>
            </w:r>
            <w:r w:rsidRPr="001558FF">
              <w:rPr>
                <w:rFonts w:eastAsiaTheme="minorHAnsi" w:cstheme="minorBidi"/>
                <w:sz w:val="22"/>
                <w:szCs w:val="22"/>
              </w:rPr>
              <w:t>ulti-Year Trend Report</w:t>
            </w:r>
          </w:p>
          <w:p w14:paraId="144E587C" w14:textId="77777777" w:rsidR="00351EDE" w:rsidRDefault="00351EDE" w:rsidP="00351EDE">
            <w:pPr>
              <w:pStyle w:val="TableText"/>
              <w:jc w:val="center"/>
              <w:rPr>
                <w:rFonts w:eastAsiaTheme="minorHAnsi" w:cstheme="minorBidi"/>
                <w:sz w:val="22"/>
                <w:szCs w:val="22"/>
              </w:rPr>
            </w:pPr>
          </w:p>
          <w:p w14:paraId="1CA53FC7" w14:textId="77777777" w:rsidR="00351EDE" w:rsidRDefault="00351EDE" w:rsidP="00351EDE">
            <w:pPr>
              <w:pStyle w:val="TableText"/>
              <w:jc w:val="center"/>
              <w:rPr>
                <w:rFonts w:eastAsiaTheme="minorHAnsi" w:cstheme="minorBidi"/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</w:rPr>
              <w:t>LORE</w:t>
            </w:r>
          </w:p>
          <w:p w14:paraId="0A8C67A6" w14:textId="77777777" w:rsidR="00351EDE" w:rsidRDefault="00351EDE" w:rsidP="00351EDE">
            <w:pPr>
              <w:pStyle w:val="TableText"/>
              <w:jc w:val="center"/>
              <w:rPr>
                <w:rFonts w:eastAsiaTheme="minorHAnsi" w:cstheme="minorBidi"/>
                <w:sz w:val="22"/>
                <w:szCs w:val="22"/>
              </w:rPr>
            </w:pPr>
          </w:p>
          <w:p w14:paraId="4771012E" w14:textId="77777777" w:rsidR="00351EDE" w:rsidRDefault="00351EDE" w:rsidP="00351EDE">
            <w:pPr>
              <w:pStyle w:val="TableText"/>
              <w:jc w:val="center"/>
              <w:rPr>
                <w:rFonts w:eastAsiaTheme="minorHAnsi" w:cstheme="minorBidi"/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</w:rPr>
              <w:t>T</w:t>
            </w:r>
            <w:r w:rsidRPr="00351EDE">
              <w:rPr>
                <w:rFonts w:eastAsiaTheme="minorHAnsi" w:cstheme="minorBidi"/>
                <w:sz w:val="22"/>
                <w:szCs w:val="22"/>
                <w:vertAlign w:val="superscript"/>
              </w:rPr>
              <w:t>2</w:t>
            </w:r>
          </w:p>
          <w:p w14:paraId="2E2AB876" w14:textId="77777777" w:rsidR="00351EDE" w:rsidRDefault="00351EDE" w:rsidP="00267AB2">
            <w:pPr>
              <w:pStyle w:val="TableText"/>
              <w:jc w:val="center"/>
              <w:rPr>
                <w:rFonts w:eastAsiaTheme="minorHAnsi" w:cstheme="minorBidi"/>
                <w:sz w:val="22"/>
                <w:szCs w:val="22"/>
              </w:rPr>
            </w:pPr>
          </w:p>
          <w:p w14:paraId="65E1B369" w14:textId="7682D150" w:rsidR="00351EDE" w:rsidRDefault="00351EDE" w:rsidP="00267AB2">
            <w:pPr>
              <w:pStyle w:val="TableText"/>
              <w:jc w:val="center"/>
              <w:rPr>
                <w:rFonts w:eastAsiaTheme="minorHAnsi" w:cstheme="minorBidi"/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</w:rPr>
              <w:t>Calendar on KWConnect</w:t>
            </w:r>
          </w:p>
          <w:p w14:paraId="5BCE0A16" w14:textId="77777777" w:rsidR="00351EDE" w:rsidRDefault="00351EDE" w:rsidP="00267AB2">
            <w:pPr>
              <w:pStyle w:val="TableText"/>
              <w:jc w:val="center"/>
              <w:rPr>
                <w:rFonts w:eastAsiaTheme="minorHAnsi" w:cstheme="minorBidi"/>
                <w:sz w:val="22"/>
                <w:szCs w:val="22"/>
              </w:rPr>
            </w:pPr>
          </w:p>
          <w:p w14:paraId="1C8BC2A3" w14:textId="6BA61137" w:rsidR="00351EDE" w:rsidRDefault="00351EDE" w:rsidP="00267AB2">
            <w:pPr>
              <w:pStyle w:val="TableText"/>
              <w:jc w:val="center"/>
            </w:pPr>
          </w:p>
        </w:tc>
        <w:tc>
          <w:tcPr>
            <w:tcW w:w="1075" w:type="dxa"/>
          </w:tcPr>
          <w:p w14:paraId="38B6B1FE" w14:textId="77777777" w:rsidR="00D02CC1" w:rsidRPr="00C3362E" w:rsidRDefault="00D02CC1" w:rsidP="001558FF">
            <w:pPr>
              <w:pStyle w:val="TableText"/>
            </w:pPr>
          </w:p>
        </w:tc>
      </w:tr>
      <w:tr w:rsidR="001558FF" w14:paraId="3D3B79F8" w14:textId="77777777" w:rsidTr="00267AB2">
        <w:trPr>
          <w:cantSplit/>
          <w:trHeight w:val="20"/>
          <w:jc w:val="center"/>
        </w:trPr>
        <w:tc>
          <w:tcPr>
            <w:tcW w:w="535" w:type="dxa"/>
            <w:vAlign w:val="center"/>
          </w:tcPr>
          <w:p w14:paraId="7C3A48F7" w14:textId="6E75EE37" w:rsidR="001558FF" w:rsidRPr="00CB64C0" w:rsidRDefault="001558FF" w:rsidP="00CB64C0">
            <w:pPr>
              <w:pStyle w:val="TableText"/>
              <w:numPr>
                <w:ilvl w:val="0"/>
                <w:numId w:val="43"/>
              </w:numPr>
              <w:ind w:left="0" w:firstLine="0"/>
              <w:jc w:val="center"/>
              <w:rPr>
                <w:color w:val="B5010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76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FB51A5" w14:textId="77777777" w:rsidR="00546632" w:rsidRDefault="00CF5CF7" w:rsidP="00546632">
            <w:pPr>
              <w:pStyle w:val="Table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Edit the Local Expert materials of the Career Growth Initiative with the Market Center’s value for the month</w:t>
            </w:r>
            <w:r w:rsidR="00546632">
              <w:rPr>
                <w:shd w:val="clear" w:color="auto" w:fill="FFFFFF" w:themeFill="background1"/>
              </w:rPr>
              <w:t>.</w:t>
            </w:r>
          </w:p>
          <w:p w14:paraId="630E2C3B" w14:textId="56482A2B" w:rsidR="001558FF" w:rsidRPr="00370491" w:rsidRDefault="00546632" w:rsidP="00546632">
            <w:pPr>
              <w:pStyle w:val="TableText"/>
              <w:numPr>
                <w:ilvl w:val="0"/>
                <w:numId w:val="39"/>
              </w:num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Post it where associates can retrieve it and further edit it with their information. (For example, KWConnect, Google Drive, etc.) 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B8F114" w14:textId="77777777" w:rsidR="00F9647F" w:rsidRDefault="00F9647F" w:rsidP="00267AB2">
            <w:pPr>
              <w:pStyle w:val="TableText"/>
              <w:jc w:val="center"/>
            </w:pPr>
            <w:r>
              <w:t xml:space="preserve">Multi-Year Trend Report </w:t>
            </w:r>
          </w:p>
          <w:p w14:paraId="7F053579" w14:textId="77777777" w:rsidR="00F9647F" w:rsidRDefault="00F9647F" w:rsidP="00267AB2">
            <w:pPr>
              <w:pStyle w:val="TableText"/>
              <w:jc w:val="center"/>
            </w:pPr>
          </w:p>
          <w:p w14:paraId="3216341C" w14:textId="77777777" w:rsidR="00F9647F" w:rsidRDefault="00F9647F" w:rsidP="00267AB2">
            <w:pPr>
              <w:pStyle w:val="TableText"/>
              <w:jc w:val="center"/>
            </w:pPr>
            <w:r>
              <w:t>LORE</w:t>
            </w:r>
          </w:p>
          <w:p w14:paraId="18D9DE68" w14:textId="77777777" w:rsidR="00F9647F" w:rsidRDefault="00F9647F" w:rsidP="00267AB2">
            <w:pPr>
              <w:pStyle w:val="TableText"/>
              <w:jc w:val="center"/>
            </w:pPr>
          </w:p>
          <w:p w14:paraId="25BE01ED" w14:textId="77777777" w:rsidR="00F9647F" w:rsidRDefault="00F9647F" w:rsidP="00267AB2">
            <w:pPr>
              <w:pStyle w:val="TableText"/>
              <w:jc w:val="center"/>
            </w:pPr>
            <w:r>
              <w:t>T</w:t>
            </w:r>
            <w:r w:rsidRPr="00F9647F">
              <w:rPr>
                <w:vertAlign w:val="superscript"/>
              </w:rPr>
              <w:t>2</w:t>
            </w:r>
          </w:p>
          <w:p w14:paraId="055CA42A" w14:textId="77777777" w:rsidR="00F9647F" w:rsidRDefault="00F9647F" w:rsidP="00267AB2">
            <w:pPr>
              <w:pStyle w:val="TableText"/>
              <w:jc w:val="center"/>
            </w:pPr>
          </w:p>
          <w:p w14:paraId="31C3C10E" w14:textId="29E6AE49" w:rsidR="001558FF" w:rsidRDefault="00F9647F" w:rsidP="00267AB2">
            <w:pPr>
              <w:pStyle w:val="TableText"/>
              <w:jc w:val="center"/>
            </w:pPr>
            <w:r>
              <w:t>Local Expert</w:t>
            </w:r>
          </w:p>
        </w:tc>
        <w:tc>
          <w:tcPr>
            <w:tcW w:w="1075" w:type="dxa"/>
          </w:tcPr>
          <w:p w14:paraId="3DD205F6" w14:textId="77777777" w:rsidR="001558FF" w:rsidRPr="00C3362E" w:rsidRDefault="001558FF" w:rsidP="001558FF">
            <w:pPr>
              <w:pStyle w:val="TableText"/>
            </w:pPr>
          </w:p>
        </w:tc>
      </w:tr>
      <w:tr w:rsidR="001558FF" w14:paraId="1EF48C3B" w14:textId="77777777" w:rsidTr="00267AB2">
        <w:trPr>
          <w:cantSplit/>
          <w:trHeight w:val="20"/>
          <w:jc w:val="center"/>
        </w:trPr>
        <w:tc>
          <w:tcPr>
            <w:tcW w:w="535" w:type="dxa"/>
            <w:vAlign w:val="center"/>
          </w:tcPr>
          <w:p w14:paraId="12A051DA" w14:textId="4E12822D" w:rsidR="001558FF" w:rsidRPr="00CB64C0" w:rsidRDefault="001558FF" w:rsidP="00CB64C0">
            <w:pPr>
              <w:pStyle w:val="TableText"/>
              <w:numPr>
                <w:ilvl w:val="0"/>
                <w:numId w:val="43"/>
              </w:numPr>
              <w:ind w:left="0" w:firstLine="0"/>
              <w:jc w:val="center"/>
              <w:rPr>
                <w:color w:val="B5010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76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75A003" w14:textId="03BA9437" w:rsidR="001558FF" w:rsidRDefault="00CF5CF7" w:rsidP="00453824">
            <w:pPr>
              <w:pStyle w:val="Table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Edit the </w:t>
            </w:r>
            <w:r w:rsidR="00453824">
              <w:rPr>
                <w:shd w:val="clear" w:color="auto" w:fill="FFFFFF" w:themeFill="background1"/>
              </w:rPr>
              <w:t xml:space="preserve">Performance Report </w:t>
            </w:r>
            <w:r w:rsidR="00CB64C0">
              <w:rPr>
                <w:shd w:val="clear" w:color="auto" w:fill="FFFFFF" w:themeFill="background1"/>
              </w:rPr>
              <w:t xml:space="preserve">and corresponding Press Release </w:t>
            </w:r>
            <w:r w:rsidR="00453824">
              <w:rPr>
                <w:shd w:val="clear" w:color="auto" w:fill="FFFFFF" w:themeFill="background1"/>
              </w:rPr>
              <w:t xml:space="preserve">available from KWConnect with the Market Center’s </w:t>
            </w:r>
            <w:r w:rsidR="00ED4C18">
              <w:rPr>
                <w:shd w:val="clear" w:color="auto" w:fill="FFFFFF" w:themeFill="background1"/>
              </w:rPr>
              <w:t>value for the month.</w:t>
            </w:r>
          </w:p>
          <w:p w14:paraId="2B70C813" w14:textId="5E88844E" w:rsidR="00546632" w:rsidRPr="00370491" w:rsidRDefault="00546632" w:rsidP="00546632">
            <w:pPr>
              <w:pStyle w:val="TableText"/>
              <w:numPr>
                <w:ilvl w:val="0"/>
                <w:numId w:val="39"/>
              </w:num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Integrate the Performance Report with recruiting materials for the month.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D7F6B7" w14:textId="77777777" w:rsidR="00F9647F" w:rsidRDefault="00F9647F" w:rsidP="00F9647F">
            <w:pPr>
              <w:pStyle w:val="TableText"/>
              <w:jc w:val="center"/>
            </w:pPr>
            <w:r>
              <w:t xml:space="preserve">Multi-Year Trend Report </w:t>
            </w:r>
          </w:p>
          <w:p w14:paraId="5620D2ED" w14:textId="77777777" w:rsidR="00F9647F" w:rsidRDefault="00F9647F" w:rsidP="00F9647F">
            <w:pPr>
              <w:pStyle w:val="TableText"/>
              <w:jc w:val="center"/>
            </w:pPr>
          </w:p>
          <w:p w14:paraId="44489F18" w14:textId="77777777" w:rsidR="00F9647F" w:rsidRDefault="00F9647F" w:rsidP="00F9647F">
            <w:pPr>
              <w:pStyle w:val="TableText"/>
              <w:jc w:val="center"/>
            </w:pPr>
            <w:r>
              <w:t>LORE</w:t>
            </w:r>
          </w:p>
          <w:p w14:paraId="310C431F" w14:textId="77777777" w:rsidR="00F9647F" w:rsidRDefault="00F9647F" w:rsidP="00F9647F">
            <w:pPr>
              <w:pStyle w:val="TableText"/>
              <w:jc w:val="center"/>
            </w:pPr>
          </w:p>
          <w:p w14:paraId="3E77C937" w14:textId="77777777" w:rsidR="00F9647F" w:rsidRDefault="00F9647F" w:rsidP="00F9647F">
            <w:pPr>
              <w:pStyle w:val="TableText"/>
              <w:jc w:val="center"/>
            </w:pPr>
            <w:r>
              <w:t>T</w:t>
            </w:r>
            <w:r w:rsidRPr="00F9647F">
              <w:rPr>
                <w:vertAlign w:val="superscript"/>
              </w:rPr>
              <w:t>2</w:t>
            </w:r>
          </w:p>
          <w:p w14:paraId="146F0B5D" w14:textId="77777777" w:rsidR="00F9647F" w:rsidRDefault="00F9647F" w:rsidP="00F9647F">
            <w:pPr>
              <w:pStyle w:val="TableText"/>
              <w:jc w:val="center"/>
            </w:pPr>
          </w:p>
          <w:p w14:paraId="20B85D5E" w14:textId="2E7F662C" w:rsidR="001558FF" w:rsidRDefault="00F9647F" w:rsidP="00F9647F">
            <w:pPr>
              <w:pStyle w:val="TableText"/>
              <w:jc w:val="center"/>
            </w:pPr>
            <w:r>
              <w:t>Performance Report</w:t>
            </w:r>
          </w:p>
        </w:tc>
        <w:tc>
          <w:tcPr>
            <w:tcW w:w="1075" w:type="dxa"/>
          </w:tcPr>
          <w:p w14:paraId="5BE2982B" w14:textId="77777777" w:rsidR="001558FF" w:rsidRPr="00C3362E" w:rsidRDefault="001558FF" w:rsidP="001558FF">
            <w:pPr>
              <w:pStyle w:val="TableText"/>
            </w:pPr>
          </w:p>
        </w:tc>
      </w:tr>
      <w:tr w:rsidR="001558FF" w14:paraId="1843B5B7" w14:textId="77777777" w:rsidTr="00267AB2">
        <w:trPr>
          <w:cantSplit/>
          <w:trHeight w:val="20"/>
          <w:jc w:val="center"/>
        </w:trPr>
        <w:tc>
          <w:tcPr>
            <w:tcW w:w="535" w:type="dxa"/>
            <w:vAlign w:val="center"/>
          </w:tcPr>
          <w:p w14:paraId="7D37C52B" w14:textId="7CDB8A01" w:rsidR="001558FF" w:rsidRPr="00CB64C0" w:rsidRDefault="001558FF" w:rsidP="00CB64C0">
            <w:pPr>
              <w:pStyle w:val="TableText"/>
              <w:numPr>
                <w:ilvl w:val="0"/>
                <w:numId w:val="43"/>
              </w:numPr>
              <w:ind w:left="0" w:firstLine="0"/>
              <w:jc w:val="center"/>
              <w:rPr>
                <w:color w:val="B5010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76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C5D3F4" w14:textId="77777777" w:rsidR="001558FF" w:rsidRDefault="0063300E" w:rsidP="001558FF">
            <w:pPr>
              <w:pStyle w:val="Table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Schedule a meeting with Market Center staff to </w:t>
            </w:r>
            <w:r w:rsidR="00D02CC1">
              <w:rPr>
                <w:shd w:val="clear" w:color="auto" w:fill="FFFFFF" w:themeFill="background1"/>
              </w:rPr>
              <w:t xml:space="preserve">share the Market Center value statements and scripts. </w:t>
            </w:r>
          </w:p>
          <w:p w14:paraId="5F93FABB" w14:textId="0260EF04" w:rsidR="00546632" w:rsidRPr="00370491" w:rsidRDefault="00546632" w:rsidP="00546632">
            <w:pPr>
              <w:pStyle w:val="TableText"/>
              <w:numPr>
                <w:ilvl w:val="0"/>
                <w:numId w:val="39"/>
              </w:num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Identify action steps for the staff in using the scripts. (For example, point associates to Ignite.)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C67C29" w14:textId="77777777" w:rsidR="00F9647F" w:rsidRDefault="00F9647F" w:rsidP="00F9647F">
            <w:pPr>
              <w:pStyle w:val="TableText"/>
              <w:jc w:val="center"/>
            </w:pPr>
            <w:r>
              <w:t xml:space="preserve">Multi-Year Trend Report </w:t>
            </w:r>
          </w:p>
          <w:p w14:paraId="2F9605CA" w14:textId="77777777" w:rsidR="00F9647F" w:rsidRDefault="00F9647F" w:rsidP="00F9647F">
            <w:pPr>
              <w:pStyle w:val="TableText"/>
              <w:jc w:val="center"/>
            </w:pPr>
          </w:p>
          <w:p w14:paraId="2968E882" w14:textId="77777777" w:rsidR="00F9647F" w:rsidRDefault="00F9647F" w:rsidP="00F9647F">
            <w:pPr>
              <w:pStyle w:val="TableText"/>
              <w:jc w:val="center"/>
            </w:pPr>
            <w:r>
              <w:t>LORE</w:t>
            </w:r>
          </w:p>
          <w:p w14:paraId="38AC79B3" w14:textId="77777777" w:rsidR="00F9647F" w:rsidRDefault="00F9647F" w:rsidP="00F9647F">
            <w:pPr>
              <w:pStyle w:val="TableText"/>
              <w:jc w:val="center"/>
            </w:pPr>
          </w:p>
          <w:p w14:paraId="4BC5A3E4" w14:textId="77777777" w:rsidR="00F9647F" w:rsidRDefault="00F9647F" w:rsidP="00F9647F">
            <w:pPr>
              <w:pStyle w:val="TableText"/>
              <w:jc w:val="center"/>
            </w:pPr>
            <w:r>
              <w:t>T</w:t>
            </w:r>
            <w:r w:rsidRPr="00F9647F">
              <w:rPr>
                <w:vertAlign w:val="superscript"/>
              </w:rPr>
              <w:t>2</w:t>
            </w:r>
          </w:p>
          <w:p w14:paraId="782D2FD3" w14:textId="77777777" w:rsidR="00F9647F" w:rsidRDefault="00F9647F" w:rsidP="00F9647F">
            <w:pPr>
              <w:pStyle w:val="TableText"/>
              <w:jc w:val="center"/>
            </w:pPr>
          </w:p>
          <w:p w14:paraId="62854A69" w14:textId="77777777" w:rsidR="001558FF" w:rsidRDefault="00F9647F" w:rsidP="00F9647F">
            <w:pPr>
              <w:pStyle w:val="TableText"/>
              <w:jc w:val="center"/>
            </w:pPr>
            <w:r>
              <w:t>Local Expert</w:t>
            </w:r>
          </w:p>
          <w:p w14:paraId="2E847DFB" w14:textId="77777777" w:rsidR="00F9647F" w:rsidRDefault="00F9647F" w:rsidP="00F9647F">
            <w:pPr>
              <w:pStyle w:val="TableText"/>
              <w:jc w:val="center"/>
            </w:pPr>
          </w:p>
          <w:p w14:paraId="4B06B85E" w14:textId="2BE1C5E0" w:rsidR="00F9647F" w:rsidRDefault="00F9647F" w:rsidP="00F9647F">
            <w:pPr>
              <w:pStyle w:val="TableText"/>
              <w:jc w:val="center"/>
            </w:pPr>
            <w:r>
              <w:t>Performance Report</w:t>
            </w:r>
          </w:p>
        </w:tc>
        <w:tc>
          <w:tcPr>
            <w:tcW w:w="1075" w:type="dxa"/>
          </w:tcPr>
          <w:p w14:paraId="5BDBBF38" w14:textId="77777777" w:rsidR="001558FF" w:rsidRPr="00C3362E" w:rsidRDefault="001558FF" w:rsidP="001558FF">
            <w:pPr>
              <w:pStyle w:val="TableText"/>
            </w:pPr>
          </w:p>
        </w:tc>
      </w:tr>
      <w:tr w:rsidR="001558FF" w14:paraId="52756AE9" w14:textId="77777777" w:rsidTr="00267AB2">
        <w:trPr>
          <w:cantSplit/>
          <w:trHeight w:val="20"/>
          <w:jc w:val="center"/>
        </w:trPr>
        <w:tc>
          <w:tcPr>
            <w:tcW w:w="535" w:type="dxa"/>
            <w:vAlign w:val="center"/>
          </w:tcPr>
          <w:p w14:paraId="6702B7C5" w14:textId="0D4A530F" w:rsidR="001558FF" w:rsidRPr="00CB64C0" w:rsidRDefault="001558FF" w:rsidP="00CB64C0">
            <w:pPr>
              <w:pStyle w:val="TableText"/>
              <w:numPr>
                <w:ilvl w:val="0"/>
                <w:numId w:val="43"/>
              </w:numPr>
              <w:ind w:left="0" w:firstLine="0"/>
              <w:jc w:val="center"/>
              <w:rPr>
                <w:color w:val="B5010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76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50F05B" w14:textId="73ACC193" w:rsidR="001558FF" w:rsidRPr="00370491" w:rsidRDefault="00D02CC1" w:rsidP="00546632">
            <w:pPr>
              <w:pStyle w:val="Table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Share the </w:t>
            </w:r>
            <w:r w:rsidR="00546632">
              <w:rPr>
                <w:shd w:val="clear" w:color="auto" w:fill="FFFFFF" w:themeFill="background1"/>
              </w:rPr>
              <w:t xml:space="preserve">month’s </w:t>
            </w:r>
            <w:r>
              <w:rPr>
                <w:shd w:val="clear" w:color="auto" w:fill="FFFFFF" w:themeFill="background1"/>
              </w:rPr>
              <w:t>value statements</w:t>
            </w:r>
            <w:r w:rsidR="00546632">
              <w:rPr>
                <w:shd w:val="clear" w:color="auto" w:fill="FFFFFF" w:themeFill="background1"/>
              </w:rPr>
              <w:t xml:space="preserve">, Local Expert materials, and scripts agents can use </w:t>
            </w:r>
            <w:r>
              <w:rPr>
                <w:shd w:val="clear" w:color="auto" w:fill="FFFFFF" w:themeFill="background1"/>
              </w:rPr>
              <w:t>in the Market Center team meeting.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7F6E83" w14:textId="77777777" w:rsidR="00F9647F" w:rsidRDefault="00F9647F" w:rsidP="00F9647F">
            <w:pPr>
              <w:pStyle w:val="TableText"/>
              <w:jc w:val="center"/>
            </w:pPr>
            <w:r>
              <w:t xml:space="preserve">Multi-Year Trend Report </w:t>
            </w:r>
          </w:p>
          <w:p w14:paraId="7BBF9132" w14:textId="77777777" w:rsidR="00F9647F" w:rsidRDefault="00F9647F" w:rsidP="00F9647F">
            <w:pPr>
              <w:pStyle w:val="TableText"/>
              <w:jc w:val="center"/>
            </w:pPr>
          </w:p>
          <w:p w14:paraId="7F3223CC" w14:textId="77777777" w:rsidR="00F9647F" w:rsidRDefault="00F9647F" w:rsidP="00F9647F">
            <w:pPr>
              <w:pStyle w:val="TableText"/>
              <w:jc w:val="center"/>
            </w:pPr>
            <w:r>
              <w:t>LORE</w:t>
            </w:r>
          </w:p>
          <w:p w14:paraId="41943408" w14:textId="77777777" w:rsidR="00F9647F" w:rsidRDefault="00F9647F" w:rsidP="00F9647F">
            <w:pPr>
              <w:pStyle w:val="TableText"/>
              <w:jc w:val="center"/>
            </w:pPr>
          </w:p>
          <w:p w14:paraId="6D9CF889" w14:textId="77777777" w:rsidR="00F9647F" w:rsidRDefault="00F9647F" w:rsidP="00F9647F">
            <w:pPr>
              <w:pStyle w:val="TableText"/>
              <w:jc w:val="center"/>
            </w:pPr>
            <w:r>
              <w:t>T</w:t>
            </w:r>
            <w:r w:rsidRPr="00F9647F">
              <w:rPr>
                <w:vertAlign w:val="superscript"/>
              </w:rPr>
              <w:t>2</w:t>
            </w:r>
          </w:p>
          <w:p w14:paraId="39F7939C" w14:textId="77777777" w:rsidR="00F9647F" w:rsidRDefault="00F9647F" w:rsidP="00F9647F">
            <w:pPr>
              <w:pStyle w:val="TableText"/>
              <w:jc w:val="center"/>
            </w:pPr>
          </w:p>
          <w:p w14:paraId="3221D390" w14:textId="6D2470E5" w:rsidR="00F9647F" w:rsidRPr="001C1B7B" w:rsidRDefault="00F9647F" w:rsidP="00491EB9">
            <w:pPr>
              <w:pStyle w:val="TableText"/>
              <w:jc w:val="center"/>
              <w:rPr>
                <w:b/>
              </w:rPr>
            </w:pPr>
            <w:r>
              <w:t>Local Expert</w:t>
            </w:r>
          </w:p>
        </w:tc>
        <w:tc>
          <w:tcPr>
            <w:tcW w:w="1075" w:type="dxa"/>
          </w:tcPr>
          <w:p w14:paraId="56BE0291" w14:textId="77777777" w:rsidR="001558FF" w:rsidRPr="00C3362E" w:rsidRDefault="001558FF" w:rsidP="001558FF">
            <w:pPr>
              <w:pStyle w:val="TableText"/>
            </w:pPr>
          </w:p>
        </w:tc>
      </w:tr>
      <w:tr w:rsidR="001558FF" w14:paraId="5517C34F" w14:textId="77777777" w:rsidTr="00267AB2">
        <w:trPr>
          <w:cantSplit/>
          <w:trHeight w:val="20"/>
          <w:jc w:val="center"/>
        </w:trPr>
        <w:tc>
          <w:tcPr>
            <w:tcW w:w="535" w:type="dxa"/>
            <w:vAlign w:val="center"/>
          </w:tcPr>
          <w:p w14:paraId="6ABBA2BF" w14:textId="77612250" w:rsidR="001558FF" w:rsidRPr="00CB64C0" w:rsidRDefault="001558FF" w:rsidP="00CB64C0">
            <w:pPr>
              <w:pStyle w:val="TableText"/>
              <w:numPr>
                <w:ilvl w:val="0"/>
                <w:numId w:val="43"/>
              </w:numPr>
              <w:ind w:left="0" w:firstLine="0"/>
              <w:jc w:val="center"/>
              <w:rPr>
                <w:color w:val="B5010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76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02B757" w14:textId="3D7F3228" w:rsidR="001558FF" w:rsidRDefault="00546632" w:rsidP="001558FF">
            <w:pPr>
              <w:pStyle w:val="Table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Distribute the month’s value statements throughout the Market Center. </w:t>
            </w:r>
            <w:r w:rsidR="00CF43B7">
              <w:rPr>
                <w:shd w:val="clear" w:color="auto" w:fill="FFFFFF" w:themeFill="background1"/>
              </w:rPr>
              <w:t xml:space="preserve">See the Share Your Story section of the </w:t>
            </w:r>
            <w:hyperlink r:id="rId13" w:history="1">
              <w:r w:rsidR="00CF43B7" w:rsidRPr="00CF43B7">
                <w:rPr>
                  <w:rStyle w:val="Hyperlink"/>
                  <w:shd w:val="clear" w:color="auto" w:fill="FFFFFF" w:themeFill="background1"/>
                </w:rPr>
                <w:t>Growth Initiative page</w:t>
              </w:r>
            </w:hyperlink>
            <w:r w:rsidR="00CF43B7">
              <w:rPr>
                <w:shd w:val="clear" w:color="auto" w:fill="FFFFFF" w:themeFill="background1"/>
              </w:rPr>
              <w:t xml:space="preserve"> on KWConnect for templates. </w:t>
            </w:r>
            <w:r>
              <w:rPr>
                <w:shd w:val="clear" w:color="auto" w:fill="FFFFFF" w:themeFill="background1"/>
              </w:rPr>
              <w:t>For example:</w:t>
            </w:r>
          </w:p>
          <w:p w14:paraId="44C7E736" w14:textId="7B8C76DB" w:rsidR="00546632" w:rsidRDefault="00546632" w:rsidP="00546632">
            <w:pPr>
              <w:pStyle w:val="TableText"/>
              <w:numPr>
                <w:ilvl w:val="0"/>
                <w:numId w:val="39"/>
              </w:num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LORE and Four Conversations posters</w:t>
            </w:r>
          </w:p>
          <w:p w14:paraId="72DD1004" w14:textId="055887BB" w:rsidR="00546632" w:rsidRDefault="00546632" w:rsidP="00546632">
            <w:pPr>
              <w:pStyle w:val="TableText"/>
              <w:numPr>
                <w:ilvl w:val="0"/>
                <w:numId w:val="39"/>
              </w:num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Bulletin boards</w:t>
            </w:r>
          </w:p>
          <w:p w14:paraId="661FA50B" w14:textId="77777777" w:rsidR="00546632" w:rsidRDefault="00546632" w:rsidP="00546632">
            <w:pPr>
              <w:pStyle w:val="TableText"/>
              <w:numPr>
                <w:ilvl w:val="0"/>
                <w:numId w:val="39"/>
              </w:num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Digital displays</w:t>
            </w:r>
          </w:p>
          <w:p w14:paraId="5346785D" w14:textId="4274BE4E" w:rsidR="00CB64C0" w:rsidRDefault="00CB64C0" w:rsidP="00CB64C0">
            <w:pPr>
              <w:pStyle w:val="TableText"/>
              <w:numPr>
                <w:ilvl w:val="0"/>
                <w:numId w:val="39"/>
              </w:num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Email signatures</w:t>
            </w:r>
          </w:p>
          <w:p w14:paraId="69F8D85D" w14:textId="77777777" w:rsidR="00CB64C0" w:rsidRDefault="00CB64C0" w:rsidP="00CB64C0">
            <w:pPr>
              <w:pStyle w:val="TableText"/>
              <w:numPr>
                <w:ilvl w:val="0"/>
                <w:numId w:val="39"/>
              </w:num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Value videos</w:t>
            </w:r>
          </w:p>
          <w:p w14:paraId="5AA96703" w14:textId="77777777" w:rsidR="00CB64C0" w:rsidRDefault="00CB64C0" w:rsidP="00CB64C0">
            <w:pPr>
              <w:pStyle w:val="TableText"/>
              <w:numPr>
                <w:ilvl w:val="0"/>
                <w:numId w:val="39"/>
              </w:num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Update Market Center trainers</w:t>
            </w:r>
          </w:p>
          <w:p w14:paraId="3B5F6DAD" w14:textId="49690895" w:rsidR="00CB64C0" w:rsidRPr="00370491" w:rsidRDefault="00CB64C0" w:rsidP="00CB64C0">
            <w:pPr>
              <w:pStyle w:val="TableText"/>
              <w:numPr>
                <w:ilvl w:val="0"/>
                <w:numId w:val="39"/>
              </w:num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Update internal social media venues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FF5C17" w14:textId="5C8DAEC8" w:rsidR="001558FF" w:rsidRDefault="001558FF" w:rsidP="00F9647F">
            <w:pPr>
              <w:pStyle w:val="TableText"/>
              <w:jc w:val="center"/>
            </w:pPr>
          </w:p>
        </w:tc>
        <w:tc>
          <w:tcPr>
            <w:tcW w:w="1075" w:type="dxa"/>
          </w:tcPr>
          <w:p w14:paraId="1D7CBAD2" w14:textId="77777777" w:rsidR="001558FF" w:rsidRPr="00C3362E" w:rsidRDefault="001558FF" w:rsidP="001558FF">
            <w:pPr>
              <w:pStyle w:val="TableText"/>
            </w:pPr>
          </w:p>
        </w:tc>
      </w:tr>
      <w:tr w:rsidR="001558FF" w14:paraId="6023FE5F" w14:textId="77777777" w:rsidTr="00267AB2">
        <w:trPr>
          <w:cantSplit/>
          <w:trHeight w:val="20"/>
          <w:jc w:val="center"/>
        </w:trPr>
        <w:tc>
          <w:tcPr>
            <w:tcW w:w="535" w:type="dxa"/>
            <w:vAlign w:val="center"/>
          </w:tcPr>
          <w:p w14:paraId="407FAA47" w14:textId="646E5C48" w:rsidR="001558FF" w:rsidRPr="00CB64C0" w:rsidRDefault="001558FF" w:rsidP="00CB64C0">
            <w:pPr>
              <w:pStyle w:val="TableText"/>
              <w:numPr>
                <w:ilvl w:val="0"/>
                <w:numId w:val="43"/>
              </w:numPr>
              <w:ind w:left="0" w:firstLine="0"/>
              <w:jc w:val="center"/>
              <w:rPr>
                <w:color w:val="B5010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76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2D8305" w14:textId="77777777" w:rsidR="001558FF" w:rsidRDefault="00CB64C0" w:rsidP="001558FF">
            <w:pPr>
              <w:pStyle w:val="TableTex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Distribute the month’s value statements beyond the Market Center. For example: </w:t>
            </w:r>
          </w:p>
          <w:p w14:paraId="3C924880" w14:textId="22B4B686" w:rsidR="00CB64C0" w:rsidRDefault="00CB64C0" w:rsidP="00CB64C0">
            <w:pPr>
              <w:pStyle w:val="TableText"/>
              <w:numPr>
                <w:ilvl w:val="0"/>
                <w:numId w:val="40"/>
              </w:num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Press releases</w:t>
            </w:r>
            <w:r w:rsidR="00CF43B7">
              <w:rPr>
                <w:shd w:val="clear" w:color="auto" w:fill="FFFFFF" w:themeFill="background1"/>
              </w:rPr>
              <w:t xml:space="preserve"> (</w:t>
            </w:r>
            <w:r w:rsidR="00CF43B7">
              <w:rPr>
                <w:shd w:val="clear" w:color="auto" w:fill="FFFFFF" w:themeFill="background1"/>
              </w:rPr>
              <w:t xml:space="preserve">See the Share Your Story section of the </w:t>
            </w:r>
            <w:hyperlink r:id="rId14" w:history="1">
              <w:r w:rsidR="00CF43B7" w:rsidRPr="00CF43B7">
                <w:rPr>
                  <w:rStyle w:val="Hyperlink"/>
                  <w:shd w:val="clear" w:color="auto" w:fill="FFFFFF" w:themeFill="background1"/>
                </w:rPr>
                <w:t>Growth Initiative page</w:t>
              </w:r>
            </w:hyperlink>
            <w:r w:rsidR="00CF43B7">
              <w:rPr>
                <w:shd w:val="clear" w:color="auto" w:fill="FFFFFF" w:themeFill="background1"/>
              </w:rPr>
              <w:t xml:space="preserve"> on KWConnect for templates</w:t>
            </w:r>
            <w:r w:rsidR="00CF43B7">
              <w:rPr>
                <w:shd w:val="clear" w:color="auto" w:fill="FFFFFF" w:themeFill="background1"/>
              </w:rPr>
              <w:t>.)</w:t>
            </w:r>
            <w:bookmarkStart w:id="2" w:name="_GoBack"/>
            <w:bookmarkEnd w:id="2"/>
          </w:p>
          <w:p w14:paraId="7CB42F98" w14:textId="403F5465" w:rsidR="00CB64C0" w:rsidRPr="00370491" w:rsidRDefault="00CB64C0" w:rsidP="00CB64C0">
            <w:pPr>
              <w:pStyle w:val="TableText"/>
              <w:numPr>
                <w:ilvl w:val="0"/>
                <w:numId w:val="40"/>
              </w:num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Update external social media venues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92D733" w14:textId="2EB9F381" w:rsidR="001558FF" w:rsidRDefault="001558FF" w:rsidP="00267AB2">
            <w:pPr>
              <w:pStyle w:val="TableText"/>
              <w:jc w:val="center"/>
            </w:pPr>
          </w:p>
        </w:tc>
        <w:tc>
          <w:tcPr>
            <w:tcW w:w="1075" w:type="dxa"/>
          </w:tcPr>
          <w:p w14:paraId="47569878" w14:textId="77777777" w:rsidR="001558FF" w:rsidRPr="00C3362E" w:rsidRDefault="001558FF" w:rsidP="001558FF">
            <w:pPr>
              <w:pStyle w:val="TableText"/>
            </w:pPr>
          </w:p>
        </w:tc>
      </w:tr>
    </w:tbl>
    <w:p w14:paraId="76556561" w14:textId="77777777" w:rsidR="004E0D00" w:rsidRDefault="004E0D00" w:rsidP="00A81587">
      <w:pPr>
        <w:spacing w:before="0" w:after="160"/>
      </w:pPr>
    </w:p>
    <w:p w14:paraId="1803291F" w14:textId="451F3831" w:rsidR="00A81587" w:rsidRDefault="00A81587" w:rsidP="00A81587">
      <w:pPr>
        <w:spacing w:before="0" w:after="160"/>
      </w:pPr>
      <w:r>
        <w:t xml:space="preserve">If you have questions or need help, email </w:t>
      </w:r>
      <w:hyperlink r:id="rId15" w:history="1">
        <w:r w:rsidRPr="00131482">
          <w:rPr>
            <w:rStyle w:val="Hyperlink"/>
          </w:rPr>
          <w:t>kwmcangel@kw.com</w:t>
        </w:r>
      </w:hyperlink>
      <w:r>
        <w:t>.</w:t>
      </w:r>
    </w:p>
    <w:p w14:paraId="12003CD9" w14:textId="6241F93B" w:rsidR="00A81587" w:rsidRDefault="00A81587" w:rsidP="00A81587">
      <w:pPr>
        <w:spacing w:before="0" w:after="160"/>
      </w:pPr>
    </w:p>
    <w:sectPr w:rsidR="00A81587" w:rsidSect="004C4191">
      <w:headerReference w:type="default" r:id="rId16"/>
      <w:footerReference w:type="default" r:id="rId17"/>
      <w:type w:val="continuous"/>
      <w:pgSz w:w="12240" w:h="15840" w:code="1"/>
      <w:pgMar w:top="1440" w:right="1440" w:bottom="1260" w:left="1440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290A1" w14:textId="77777777" w:rsidR="002D2687" w:rsidRDefault="002D2687" w:rsidP="0005785C">
      <w:r>
        <w:separator/>
      </w:r>
    </w:p>
    <w:p w14:paraId="414359EA" w14:textId="77777777" w:rsidR="002D2687" w:rsidRDefault="002D2687" w:rsidP="0005785C"/>
  </w:endnote>
  <w:endnote w:type="continuationSeparator" w:id="0">
    <w:p w14:paraId="736ED5F4" w14:textId="77777777" w:rsidR="002D2687" w:rsidRDefault="002D2687" w:rsidP="0005785C">
      <w:r>
        <w:continuationSeparator/>
      </w:r>
    </w:p>
    <w:p w14:paraId="7E12E34E" w14:textId="77777777" w:rsidR="002D2687" w:rsidRDefault="002D2687" w:rsidP="000578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Helvetica 65 Medium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E45EF" w14:textId="1111A95E" w:rsidR="002D3AE8" w:rsidRPr="00CC0CDB" w:rsidRDefault="002D3AE8" w:rsidP="001D6BC7">
    <w:pPr>
      <w:spacing w:line="240" w:lineRule="auto"/>
    </w:pPr>
    <w:r w:rsidRPr="00A84B6F">
      <w:t>© 201</w:t>
    </w:r>
    <w:r w:rsidR="00265F21">
      <w:t>8</w:t>
    </w:r>
    <w:r w:rsidRPr="00A84B6F">
      <w:t xml:space="preserve"> Keller Williams Realty, Inc.</w:t>
    </w:r>
    <w:r w:rsidR="00491EB9">
      <w:t>, v</w:t>
    </w:r>
    <w:r w:rsidR="00265F21">
      <w:t>3</w:t>
    </w:r>
    <w:r w:rsidRPr="00A84B6F">
      <w:tab/>
    </w:r>
    <w:r>
      <w:tab/>
    </w:r>
    <w:r>
      <w:tab/>
    </w:r>
    <w:r>
      <w:tab/>
    </w:r>
    <w:r>
      <w:tab/>
    </w:r>
    <w:r>
      <w:tab/>
    </w:r>
    <w:r>
      <w:tab/>
    </w:r>
    <w:r w:rsidRPr="00A84B6F">
      <w:tab/>
    </w:r>
    <w:r w:rsidR="00C906B1">
      <w:fldChar w:fldCharType="begin"/>
    </w:r>
    <w:r w:rsidR="00C906B1">
      <w:instrText xml:space="preserve"> PAGE   \* MERGEFORMAT </w:instrText>
    </w:r>
    <w:r w:rsidR="00C906B1">
      <w:fldChar w:fldCharType="separate"/>
    </w:r>
    <w:r w:rsidR="00CF43B7">
      <w:rPr>
        <w:noProof/>
      </w:rPr>
      <w:t>7</w:t>
    </w:r>
    <w:r w:rsidR="00C906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5BA12" w14:textId="77777777" w:rsidR="002D2687" w:rsidRDefault="002D2687" w:rsidP="0005785C">
      <w:r>
        <w:separator/>
      </w:r>
    </w:p>
    <w:p w14:paraId="35002353" w14:textId="77777777" w:rsidR="002D2687" w:rsidRDefault="002D2687" w:rsidP="0005785C"/>
  </w:footnote>
  <w:footnote w:type="continuationSeparator" w:id="0">
    <w:p w14:paraId="06E050D2" w14:textId="77777777" w:rsidR="002D2687" w:rsidRDefault="002D2687" w:rsidP="0005785C">
      <w:r>
        <w:continuationSeparator/>
      </w:r>
    </w:p>
    <w:p w14:paraId="668948E0" w14:textId="77777777" w:rsidR="002D2687" w:rsidRDefault="002D2687" w:rsidP="000578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53901" w14:textId="1C1F8877" w:rsidR="002D3AE8" w:rsidRPr="002A4EE1" w:rsidRDefault="00A87A16" w:rsidP="0005785C">
    <w:pPr>
      <w:rPr>
        <w:smallCaps/>
        <w:color w:val="828282"/>
        <w:spacing w:val="40"/>
      </w:rPr>
    </w:pPr>
    <w:r>
      <w:rPr>
        <w:color w:val="828282"/>
        <w:spacing w:val="40"/>
      </w:rPr>
      <w:t>MONTHLY</w:t>
    </w:r>
    <w:r w:rsidR="00A313EC">
      <w:rPr>
        <w:color w:val="828282"/>
        <w:spacing w:val="40"/>
      </w:rPr>
      <w:t xml:space="preserve"> </w:t>
    </w:r>
    <w:r>
      <w:rPr>
        <w:color w:val="828282"/>
        <w:spacing w:val="40"/>
      </w:rPr>
      <w:t>VALUE</w:t>
    </w:r>
    <w:r w:rsidR="00A313EC">
      <w:rPr>
        <w:color w:val="828282"/>
        <w:spacing w:val="40"/>
      </w:rPr>
      <w:t xml:space="preserve">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0AF"/>
    <w:multiLevelType w:val="hybridMultilevel"/>
    <w:tmpl w:val="0A527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2026"/>
    <w:multiLevelType w:val="hybridMultilevel"/>
    <w:tmpl w:val="4FFE1E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D4F72"/>
    <w:multiLevelType w:val="hybridMultilevel"/>
    <w:tmpl w:val="01A45946"/>
    <w:lvl w:ilvl="0" w:tplc="E16468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85C"/>
    <w:multiLevelType w:val="hybridMultilevel"/>
    <w:tmpl w:val="A2F06122"/>
    <w:lvl w:ilvl="0" w:tplc="C600A8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C2278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15060FA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643F3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769222E6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5AD6606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5F66052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C484B83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0D7C134A"/>
    <w:multiLevelType w:val="hybridMultilevel"/>
    <w:tmpl w:val="4C025C26"/>
    <w:lvl w:ilvl="0" w:tplc="75A6C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D4D4D"/>
      </w:rPr>
    </w:lvl>
    <w:lvl w:ilvl="1" w:tplc="75A6CA7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D4D4D"/>
      </w:r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5B6A7A50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D93D6F"/>
    <w:multiLevelType w:val="hybridMultilevel"/>
    <w:tmpl w:val="F43E7302"/>
    <w:lvl w:ilvl="0" w:tplc="1184630A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6C6E23"/>
    <w:multiLevelType w:val="hybridMultilevel"/>
    <w:tmpl w:val="F6F0E252"/>
    <w:lvl w:ilvl="0" w:tplc="75A6CA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D4D4D"/>
      </w:rPr>
    </w:lvl>
    <w:lvl w:ilvl="1" w:tplc="75A6CA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4D4D4D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5B6A7A50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B12943"/>
    <w:multiLevelType w:val="hybridMultilevel"/>
    <w:tmpl w:val="4FFE1E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05A97"/>
    <w:multiLevelType w:val="hybridMultilevel"/>
    <w:tmpl w:val="4FFE1E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769C7"/>
    <w:multiLevelType w:val="hybridMultilevel"/>
    <w:tmpl w:val="9FBA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55262"/>
    <w:multiLevelType w:val="hybridMultilevel"/>
    <w:tmpl w:val="723C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64B5C"/>
    <w:multiLevelType w:val="hybridMultilevel"/>
    <w:tmpl w:val="ABBC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4756F"/>
    <w:multiLevelType w:val="hybridMultilevel"/>
    <w:tmpl w:val="4FFE1E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81FEB"/>
    <w:multiLevelType w:val="hybridMultilevel"/>
    <w:tmpl w:val="78E0A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62B99"/>
    <w:multiLevelType w:val="hybridMultilevel"/>
    <w:tmpl w:val="D722C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60C93"/>
    <w:multiLevelType w:val="hybridMultilevel"/>
    <w:tmpl w:val="22928782"/>
    <w:lvl w:ilvl="0" w:tplc="1184630A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95C81"/>
    <w:multiLevelType w:val="hybridMultilevel"/>
    <w:tmpl w:val="4FFE1E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B6631"/>
    <w:multiLevelType w:val="multilevel"/>
    <w:tmpl w:val="9F1441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8" w15:restartNumberingAfterBreak="0">
    <w:nsid w:val="34316EFC"/>
    <w:multiLevelType w:val="hybridMultilevel"/>
    <w:tmpl w:val="4FFE1E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F129E"/>
    <w:multiLevelType w:val="hybridMultilevel"/>
    <w:tmpl w:val="0A527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1411A"/>
    <w:multiLevelType w:val="hybridMultilevel"/>
    <w:tmpl w:val="63BA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C180E"/>
    <w:multiLevelType w:val="hybridMultilevel"/>
    <w:tmpl w:val="4FFE1E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B65BF"/>
    <w:multiLevelType w:val="hybridMultilevel"/>
    <w:tmpl w:val="4ACE4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F7EBA"/>
    <w:multiLevelType w:val="hybridMultilevel"/>
    <w:tmpl w:val="DA50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F6EFC"/>
    <w:multiLevelType w:val="hybridMultilevel"/>
    <w:tmpl w:val="18AE1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5A6CA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4D4D4D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5B6A7A50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CE2F72"/>
    <w:multiLevelType w:val="multilevel"/>
    <w:tmpl w:val="9F1441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6" w15:restartNumberingAfterBreak="0">
    <w:nsid w:val="527B6EF9"/>
    <w:multiLevelType w:val="hybridMultilevel"/>
    <w:tmpl w:val="4FFE1E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2619E"/>
    <w:multiLevelType w:val="multilevel"/>
    <w:tmpl w:val="52A63E84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8" w15:restartNumberingAfterBreak="0">
    <w:nsid w:val="53DF5B01"/>
    <w:multiLevelType w:val="hybridMultilevel"/>
    <w:tmpl w:val="F508CCCA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9C8EED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4B4B4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5B6A7A50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83756F"/>
    <w:multiLevelType w:val="hybridMultilevel"/>
    <w:tmpl w:val="C73AA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62D54"/>
    <w:multiLevelType w:val="hybridMultilevel"/>
    <w:tmpl w:val="0A62B43C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5B6A7A50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CF7639"/>
    <w:multiLevelType w:val="hybridMultilevel"/>
    <w:tmpl w:val="0A62B43C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5B6A7A50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276B61"/>
    <w:multiLevelType w:val="hybridMultilevel"/>
    <w:tmpl w:val="B6EE7308"/>
    <w:lvl w:ilvl="0" w:tplc="2CF2ABA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35874"/>
    <w:multiLevelType w:val="hybridMultilevel"/>
    <w:tmpl w:val="D546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939CC"/>
    <w:multiLevelType w:val="hybridMultilevel"/>
    <w:tmpl w:val="4FFE1E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73606"/>
    <w:multiLevelType w:val="hybridMultilevel"/>
    <w:tmpl w:val="60341264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5A6CA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4D4D4D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5B6A7A50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B46D69"/>
    <w:multiLevelType w:val="hybridMultilevel"/>
    <w:tmpl w:val="4FFE1E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21457"/>
    <w:multiLevelType w:val="multilevel"/>
    <w:tmpl w:val="DE0AE15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8" w15:restartNumberingAfterBreak="0">
    <w:nsid w:val="6CE608A1"/>
    <w:multiLevelType w:val="hybridMultilevel"/>
    <w:tmpl w:val="4FFE1E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23CF0"/>
    <w:multiLevelType w:val="hybridMultilevel"/>
    <w:tmpl w:val="3D0E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95AE4"/>
    <w:multiLevelType w:val="hybridMultilevel"/>
    <w:tmpl w:val="4888F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02230"/>
    <w:multiLevelType w:val="hybridMultilevel"/>
    <w:tmpl w:val="765E7DA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5B6A7A50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D67312"/>
    <w:multiLevelType w:val="hybridMultilevel"/>
    <w:tmpl w:val="AE266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031C4"/>
    <w:multiLevelType w:val="hybridMultilevel"/>
    <w:tmpl w:val="D15C445E"/>
    <w:lvl w:ilvl="0" w:tplc="2CF2ABA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30"/>
  </w:num>
  <w:num w:numId="4">
    <w:abstractNumId w:val="39"/>
  </w:num>
  <w:num w:numId="5">
    <w:abstractNumId w:val="25"/>
  </w:num>
  <w:num w:numId="6">
    <w:abstractNumId w:val="17"/>
  </w:num>
  <w:num w:numId="7">
    <w:abstractNumId w:val="11"/>
  </w:num>
  <w:num w:numId="8">
    <w:abstractNumId w:val="19"/>
  </w:num>
  <w:num w:numId="9">
    <w:abstractNumId w:val="0"/>
  </w:num>
  <w:num w:numId="10">
    <w:abstractNumId w:val="33"/>
  </w:num>
  <w:num w:numId="11">
    <w:abstractNumId w:val="43"/>
  </w:num>
  <w:num w:numId="12">
    <w:abstractNumId w:val="32"/>
  </w:num>
  <w:num w:numId="13">
    <w:abstractNumId w:val="41"/>
  </w:num>
  <w:num w:numId="14">
    <w:abstractNumId w:val="28"/>
  </w:num>
  <w:num w:numId="15">
    <w:abstractNumId w:val="35"/>
  </w:num>
  <w:num w:numId="16">
    <w:abstractNumId w:val="40"/>
  </w:num>
  <w:num w:numId="17">
    <w:abstractNumId w:val="24"/>
  </w:num>
  <w:num w:numId="18">
    <w:abstractNumId w:val="4"/>
  </w:num>
  <w:num w:numId="19">
    <w:abstractNumId w:val="6"/>
  </w:num>
  <w:num w:numId="20">
    <w:abstractNumId w:val="27"/>
  </w:num>
  <w:num w:numId="21">
    <w:abstractNumId w:val="37"/>
  </w:num>
  <w:num w:numId="22">
    <w:abstractNumId w:val="38"/>
  </w:num>
  <w:num w:numId="23">
    <w:abstractNumId w:val="5"/>
  </w:num>
  <w:num w:numId="24">
    <w:abstractNumId w:val="15"/>
  </w:num>
  <w:num w:numId="25">
    <w:abstractNumId w:val="2"/>
  </w:num>
  <w:num w:numId="26">
    <w:abstractNumId w:val="34"/>
  </w:num>
  <w:num w:numId="27">
    <w:abstractNumId w:val="7"/>
  </w:num>
  <w:num w:numId="28">
    <w:abstractNumId w:val="1"/>
  </w:num>
  <w:num w:numId="29">
    <w:abstractNumId w:val="36"/>
  </w:num>
  <w:num w:numId="30">
    <w:abstractNumId w:val="12"/>
  </w:num>
  <w:num w:numId="31">
    <w:abstractNumId w:val="8"/>
  </w:num>
  <w:num w:numId="32">
    <w:abstractNumId w:val="9"/>
  </w:num>
  <w:num w:numId="33">
    <w:abstractNumId w:val="21"/>
  </w:num>
  <w:num w:numId="34">
    <w:abstractNumId w:val="18"/>
  </w:num>
  <w:num w:numId="35">
    <w:abstractNumId w:val="20"/>
  </w:num>
  <w:num w:numId="36">
    <w:abstractNumId w:val="10"/>
  </w:num>
  <w:num w:numId="37">
    <w:abstractNumId w:val="29"/>
  </w:num>
  <w:num w:numId="38">
    <w:abstractNumId w:val="26"/>
  </w:num>
  <w:num w:numId="39">
    <w:abstractNumId w:val="14"/>
  </w:num>
  <w:num w:numId="40">
    <w:abstractNumId w:val="23"/>
  </w:num>
  <w:num w:numId="41">
    <w:abstractNumId w:val="42"/>
  </w:num>
  <w:num w:numId="42">
    <w:abstractNumId w:val="22"/>
  </w:num>
  <w:num w:numId="43">
    <w:abstractNumId w:val="13"/>
  </w:num>
  <w:num w:numId="44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C5"/>
    <w:rsid w:val="00006980"/>
    <w:rsid w:val="00007F49"/>
    <w:rsid w:val="000136D1"/>
    <w:rsid w:val="0001514D"/>
    <w:rsid w:val="00015ECC"/>
    <w:rsid w:val="00026248"/>
    <w:rsid w:val="000319A2"/>
    <w:rsid w:val="00031BF0"/>
    <w:rsid w:val="00036A3E"/>
    <w:rsid w:val="0003735E"/>
    <w:rsid w:val="00043B51"/>
    <w:rsid w:val="00044640"/>
    <w:rsid w:val="00050483"/>
    <w:rsid w:val="0005125A"/>
    <w:rsid w:val="0005785C"/>
    <w:rsid w:val="00060905"/>
    <w:rsid w:val="00060EFE"/>
    <w:rsid w:val="000638A5"/>
    <w:rsid w:val="00071A0B"/>
    <w:rsid w:val="00073F26"/>
    <w:rsid w:val="00074BAB"/>
    <w:rsid w:val="00075C4C"/>
    <w:rsid w:val="00084A01"/>
    <w:rsid w:val="000867AC"/>
    <w:rsid w:val="00091237"/>
    <w:rsid w:val="00093A42"/>
    <w:rsid w:val="00095F55"/>
    <w:rsid w:val="00096135"/>
    <w:rsid w:val="00096480"/>
    <w:rsid w:val="000979C9"/>
    <w:rsid w:val="000A47DB"/>
    <w:rsid w:val="000A5B8C"/>
    <w:rsid w:val="000A6477"/>
    <w:rsid w:val="000B0912"/>
    <w:rsid w:val="000B1FB3"/>
    <w:rsid w:val="000B23B4"/>
    <w:rsid w:val="000B57FD"/>
    <w:rsid w:val="000B725F"/>
    <w:rsid w:val="000C13D8"/>
    <w:rsid w:val="000C22E0"/>
    <w:rsid w:val="000C2647"/>
    <w:rsid w:val="000C3DC1"/>
    <w:rsid w:val="000C49EB"/>
    <w:rsid w:val="000D00BA"/>
    <w:rsid w:val="000D21AB"/>
    <w:rsid w:val="000D26E5"/>
    <w:rsid w:val="000D31CF"/>
    <w:rsid w:val="000D58D0"/>
    <w:rsid w:val="000E16C4"/>
    <w:rsid w:val="000E3389"/>
    <w:rsid w:val="000E4298"/>
    <w:rsid w:val="000E454A"/>
    <w:rsid w:val="000E7EB4"/>
    <w:rsid w:val="000F0D85"/>
    <w:rsid w:val="000F28E3"/>
    <w:rsid w:val="00102694"/>
    <w:rsid w:val="00102957"/>
    <w:rsid w:val="00104632"/>
    <w:rsid w:val="00104D00"/>
    <w:rsid w:val="001103C8"/>
    <w:rsid w:val="00113B0C"/>
    <w:rsid w:val="00115461"/>
    <w:rsid w:val="0011739E"/>
    <w:rsid w:val="00120006"/>
    <w:rsid w:val="001227F2"/>
    <w:rsid w:val="00123C80"/>
    <w:rsid w:val="00134AFE"/>
    <w:rsid w:val="00135333"/>
    <w:rsid w:val="00143633"/>
    <w:rsid w:val="00144FAE"/>
    <w:rsid w:val="00152032"/>
    <w:rsid w:val="001520BF"/>
    <w:rsid w:val="001558FF"/>
    <w:rsid w:val="00160AF8"/>
    <w:rsid w:val="0016154F"/>
    <w:rsid w:val="00161A99"/>
    <w:rsid w:val="0016451B"/>
    <w:rsid w:val="00164930"/>
    <w:rsid w:val="00165D47"/>
    <w:rsid w:val="00167599"/>
    <w:rsid w:val="00175DE0"/>
    <w:rsid w:val="00182D23"/>
    <w:rsid w:val="001839B2"/>
    <w:rsid w:val="00184B20"/>
    <w:rsid w:val="001854C1"/>
    <w:rsid w:val="001876BD"/>
    <w:rsid w:val="00187F04"/>
    <w:rsid w:val="00191D47"/>
    <w:rsid w:val="0019341A"/>
    <w:rsid w:val="00195A9F"/>
    <w:rsid w:val="00196FAB"/>
    <w:rsid w:val="0019710D"/>
    <w:rsid w:val="0019734C"/>
    <w:rsid w:val="001A22B6"/>
    <w:rsid w:val="001A3DB7"/>
    <w:rsid w:val="001A47D9"/>
    <w:rsid w:val="001A564D"/>
    <w:rsid w:val="001A5FAB"/>
    <w:rsid w:val="001B1179"/>
    <w:rsid w:val="001B49D5"/>
    <w:rsid w:val="001B6674"/>
    <w:rsid w:val="001C1B7B"/>
    <w:rsid w:val="001C3063"/>
    <w:rsid w:val="001C5947"/>
    <w:rsid w:val="001C7B80"/>
    <w:rsid w:val="001D4D6F"/>
    <w:rsid w:val="001D5D3F"/>
    <w:rsid w:val="001D6BC7"/>
    <w:rsid w:val="001D7032"/>
    <w:rsid w:val="001E5F79"/>
    <w:rsid w:val="001F4355"/>
    <w:rsid w:val="001F54AC"/>
    <w:rsid w:val="001F5D4D"/>
    <w:rsid w:val="001F6F9D"/>
    <w:rsid w:val="00203550"/>
    <w:rsid w:val="00205D70"/>
    <w:rsid w:val="00206E3D"/>
    <w:rsid w:val="00210F5D"/>
    <w:rsid w:val="0021372C"/>
    <w:rsid w:val="00217B3C"/>
    <w:rsid w:val="00222903"/>
    <w:rsid w:val="00231B85"/>
    <w:rsid w:val="002326F8"/>
    <w:rsid w:val="002332A7"/>
    <w:rsid w:val="00234640"/>
    <w:rsid w:val="00234A57"/>
    <w:rsid w:val="00244F5D"/>
    <w:rsid w:val="00245660"/>
    <w:rsid w:val="002526B1"/>
    <w:rsid w:val="00254D8F"/>
    <w:rsid w:val="00255863"/>
    <w:rsid w:val="00255BC9"/>
    <w:rsid w:val="002609EA"/>
    <w:rsid w:val="00265F21"/>
    <w:rsid w:val="00267AB2"/>
    <w:rsid w:val="00273116"/>
    <w:rsid w:val="0027445D"/>
    <w:rsid w:val="00280C89"/>
    <w:rsid w:val="002813F7"/>
    <w:rsid w:val="00285827"/>
    <w:rsid w:val="00290C43"/>
    <w:rsid w:val="002910A9"/>
    <w:rsid w:val="002917BE"/>
    <w:rsid w:val="00291D61"/>
    <w:rsid w:val="002942BF"/>
    <w:rsid w:val="002949B7"/>
    <w:rsid w:val="00296AF5"/>
    <w:rsid w:val="002A1881"/>
    <w:rsid w:val="002A1FB7"/>
    <w:rsid w:val="002A2340"/>
    <w:rsid w:val="002A4792"/>
    <w:rsid w:val="002A4EE1"/>
    <w:rsid w:val="002B056D"/>
    <w:rsid w:val="002B363D"/>
    <w:rsid w:val="002B3F24"/>
    <w:rsid w:val="002C019A"/>
    <w:rsid w:val="002C0998"/>
    <w:rsid w:val="002C1CF0"/>
    <w:rsid w:val="002C2743"/>
    <w:rsid w:val="002C6EFA"/>
    <w:rsid w:val="002C7A96"/>
    <w:rsid w:val="002D04D9"/>
    <w:rsid w:val="002D2595"/>
    <w:rsid w:val="002D2687"/>
    <w:rsid w:val="002D2BD7"/>
    <w:rsid w:val="002D3AE8"/>
    <w:rsid w:val="002D47A5"/>
    <w:rsid w:val="002D6F8E"/>
    <w:rsid w:val="002E154F"/>
    <w:rsid w:val="002E2ED4"/>
    <w:rsid w:val="002E31FA"/>
    <w:rsid w:val="002E5B25"/>
    <w:rsid w:val="002E64F6"/>
    <w:rsid w:val="002F0E72"/>
    <w:rsid w:val="002F210D"/>
    <w:rsid w:val="002F22EB"/>
    <w:rsid w:val="002F32F3"/>
    <w:rsid w:val="003002EA"/>
    <w:rsid w:val="0030294B"/>
    <w:rsid w:val="003044C1"/>
    <w:rsid w:val="003128AE"/>
    <w:rsid w:val="0031373B"/>
    <w:rsid w:val="003142F7"/>
    <w:rsid w:val="00315867"/>
    <w:rsid w:val="00316D36"/>
    <w:rsid w:val="003174C7"/>
    <w:rsid w:val="00324AD6"/>
    <w:rsid w:val="003252AC"/>
    <w:rsid w:val="00327F58"/>
    <w:rsid w:val="003338C0"/>
    <w:rsid w:val="00335B8D"/>
    <w:rsid w:val="00343257"/>
    <w:rsid w:val="0034385B"/>
    <w:rsid w:val="003442AF"/>
    <w:rsid w:val="00347143"/>
    <w:rsid w:val="003505A2"/>
    <w:rsid w:val="00350DF4"/>
    <w:rsid w:val="00351EDE"/>
    <w:rsid w:val="00353049"/>
    <w:rsid w:val="00356829"/>
    <w:rsid w:val="003576CF"/>
    <w:rsid w:val="00363F80"/>
    <w:rsid w:val="003675DA"/>
    <w:rsid w:val="00367AB7"/>
    <w:rsid w:val="003702BF"/>
    <w:rsid w:val="00373A4F"/>
    <w:rsid w:val="0038365C"/>
    <w:rsid w:val="00385F93"/>
    <w:rsid w:val="00387453"/>
    <w:rsid w:val="0039490E"/>
    <w:rsid w:val="00394C82"/>
    <w:rsid w:val="00395A9C"/>
    <w:rsid w:val="00396377"/>
    <w:rsid w:val="003967A4"/>
    <w:rsid w:val="00396AF4"/>
    <w:rsid w:val="003A2A8C"/>
    <w:rsid w:val="003A4144"/>
    <w:rsid w:val="003A7530"/>
    <w:rsid w:val="003B492C"/>
    <w:rsid w:val="003B552F"/>
    <w:rsid w:val="003C2B66"/>
    <w:rsid w:val="003C315B"/>
    <w:rsid w:val="003C34B1"/>
    <w:rsid w:val="003C5033"/>
    <w:rsid w:val="003C5A0C"/>
    <w:rsid w:val="003C63AD"/>
    <w:rsid w:val="003D1797"/>
    <w:rsid w:val="003D52AD"/>
    <w:rsid w:val="003D5BAD"/>
    <w:rsid w:val="003E35CA"/>
    <w:rsid w:val="003E39DB"/>
    <w:rsid w:val="003E4B31"/>
    <w:rsid w:val="003E5600"/>
    <w:rsid w:val="003F0A89"/>
    <w:rsid w:val="003F1212"/>
    <w:rsid w:val="003F20B1"/>
    <w:rsid w:val="003F4228"/>
    <w:rsid w:val="003F52EC"/>
    <w:rsid w:val="003F5949"/>
    <w:rsid w:val="003F5F97"/>
    <w:rsid w:val="00401E5C"/>
    <w:rsid w:val="0040413B"/>
    <w:rsid w:val="004076CF"/>
    <w:rsid w:val="00407B62"/>
    <w:rsid w:val="00407F36"/>
    <w:rsid w:val="004133CF"/>
    <w:rsid w:val="00416390"/>
    <w:rsid w:val="004167C5"/>
    <w:rsid w:val="00420354"/>
    <w:rsid w:val="00420F18"/>
    <w:rsid w:val="0042176D"/>
    <w:rsid w:val="004227AE"/>
    <w:rsid w:val="0042280F"/>
    <w:rsid w:val="004254C1"/>
    <w:rsid w:val="00425755"/>
    <w:rsid w:val="004267DE"/>
    <w:rsid w:val="00426BB9"/>
    <w:rsid w:val="00431414"/>
    <w:rsid w:val="00431763"/>
    <w:rsid w:val="00432110"/>
    <w:rsid w:val="0043331C"/>
    <w:rsid w:val="00433BC7"/>
    <w:rsid w:val="00441186"/>
    <w:rsid w:val="0044195A"/>
    <w:rsid w:val="00453824"/>
    <w:rsid w:val="004615CC"/>
    <w:rsid w:val="004617A8"/>
    <w:rsid w:val="00462452"/>
    <w:rsid w:val="00464C3A"/>
    <w:rsid w:val="0046502C"/>
    <w:rsid w:val="004703F3"/>
    <w:rsid w:val="00473580"/>
    <w:rsid w:val="0047424B"/>
    <w:rsid w:val="00474274"/>
    <w:rsid w:val="004759CF"/>
    <w:rsid w:val="00475D4A"/>
    <w:rsid w:val="00476E6E"/>
    <w:rsid w:val="004833B3"/>
    <w:rsid w:val="0049071B"/>
    <w:rsid w:val="00490EEE"/>
    <w:rsid w:val="00491EB9"/>
    <w:rsid w:val="00495B4D"/>
    <w:rsid w:val="004A514A"/>
    <w:rsid w:val="004A545B"/>
    <w:rsid w:val="004B2108"/>
    <w:rsid w:val="004B7008"/>
    <w:rsid w:val="004C0AFC"/>
    <w:rsid w:val="004C117C"/>
    <w:rsid w:val="004C315D"/>
    <w:rsid w:val="004C4191"/>
    <w:rsid w:val="004C4F4F"/>
    <w:rsid w:val="004D0D4B"/>
    <w:rsid w:val="004D1234"/>
    <w:rsid w:val="004D1597"/>
    <w:rsid w:val="004D38CF"/>
    <w:rsid w:val="004D470B"/>
    <w:rsid w:val="004D5248"/>
    <w:rsid w:val="004D6208"/>
    <w:rsid w:val="004D64F8"/>
    <w:rsid w:val="004D72C1"/>
    <w:rsid w:val="004D73B9"/>
    <w:rsid w:val="004D7BED"/>
    <w:rsid w:val="004E0D00"/>
    <w:rsid w:val="004E17D2"/>
    <w:rsid w:val="004E35DE"/>
    <w:rsid w:val="004F04F3"/>
    <w:rsid w:val="004F0BBC"/>
    <w:rsid w:val="004F19BD"/>
    <w:rsid w:val="004F383C"/>
    <w:rsid w:val="004F67EF"/>
    <w:rsid w:val="00500C55"/>
    <w:rsid w:val="00502C77"/>
    <w:rsid w:val="005054C1"/>
    <w:rsid w:val="00512D63"/>
    <w:rsid w:val="00515CEF"/>
    <w:rsid w:val="00516179"/>
    <w:rsid w:val="005211A1"/>
    <w:rsid w:val="00521CC2"/>
    <w:rsid w:val="0052488B"/>
    <w:rsid w:val="00526BD4"/>
    <w:rsid w:val="005302D6"/>
    <w:rsid w:val="0053357E"/>
    <w:rsid w:val="00533FE1"/>
    <w:rsid w:val="00537247"/>
    <w:rsid w:val="00546632"/>
    <w:rsid w:val="005470BA"/>
    <w:rsid w:val="00547BAE"/>
    <w:rsid w:val="00550117"/>
    <w:rsid w:val="005552FD"/>
    <w:rsid w:val="005559CB"/>
    <w:rsid w:val="00556926"/>
    <w:rsid w:val="00560E27"/>
    <w:rsid w:val="00561348"/>
    <w:rsid w:val="0056316C"/>
    <w:rsid w:val="00563509"/>
    <w:rsid w:val="00563681"/>
    <w:rsid w:val="0056473C"/>
    <w:rsid w:val="00565316"/>
    <w:rsid w:val="0057026C"/>
    <w:rsid w:val="0057198A"/>
    <w:rsid w:val="00571E0A"/>
    <w:rsid w:val="00575BD8"/>
    <w:rsid w:val="00575CE2"/>
    <w:rsid w:val="00576F35"/>
    <w:rsid w:val="00577217"/>
    <w:rsid w:val="00583F5C"/>
    <w:rsid w:val="00585F3C"/>
    <w:rsid w:val="00586D63"/>
    <w:rsid w:val="00587F30"/>
    <w:rsid w:val="0059166F"/>
    <w:rsid w:val="00591CDD"/>
    <w:rsid w:val="00592610"/>
    <w:rsid w:val="005932F1"/>
    <w:rsid w:val="005934DF"/>
    <w:rsid w:val="005962C9"/>
    <w:rsid w:val="00596A4E"/>
    <w:rsid w:val="005A012B"/>
    <w:rsid w:val="005A0706"/>
    <w:rsid w:val="005A10A7"/>
    <w:rsid w:val="005A43D5"/>
    <w:rsid w:val="005A5B16"/>
    <w:rsid w:val="005A6232"/>
    <w:rsid w:val="005A6262"/>
    <w:rsid w:val="005A743E"/>
    <w:rsid w:val="005B0976"/>
    <w:rsid w:val="005B1F37"/>
    <w:rsid w:val="005C1DCA"/>
    <w:rsid w:val="005C7070"/>
    <w:rsid w:val="005C7D5E"/>
    <w:rsid w:val="005D1DC7"/>
    <w:rsid w:val="005D2ED3"/>
    <w:rsid w:val="005D7C87"/>
    <w:rsid w:val="005E3F78"/>
    <w:rsid w:val="005E478D"/>
    <w:rsid w:val="005E4AB2"/>
    <w:rsid w:val="005E564B"/>
    <w:rsid w:val="005E6D83"/>
    <w:rsid w:val="005E75B9"/>
    <w:rsid w:val="005E7651"/>
    <w:rsid w:val="005F5BAF"/>
    <w:rsid w:val="005F671F"/>
    <w:rsid w:val="005F6954"/>
    <w:rsid w:val="006006D0"/>
    <w:rsid w:val="00600C20"/>
    <w:rsid w:val="00600D89"/>
    <w:rsid w:val="00601827"/>
    <w:rsid w:val="006023B4"/>
    <w:rsid w:val="00602772"/>
    <w:rsid w:val="00602788"/>
    <w:rsid w:val="00602BAA"/>
    <w:rsid w:val="006045B7"/>
    <w:rsid w:val="00605444"/>
    <w:rsid w:val="00610A04"/>
    <w:rsid w:val="0061113C"/>
    <w:rsid w:val="00611969"/>
    <w:rsid w:val="00611F6E"/>
    <w:rsid w:val="00614353"/>
    <w:rsid w:val="006155DE"/>
    <w:rsid w:val="00623EF1"/>
    <w:rsid w:val="00624EBB"/>
    <w:rsid w:val="00626EC0"/>
    <w:rsid w:val="00630F57"/>
    <w:rsid w:val="0063300E"/>
    <w:rsid w:val="0063367F"/>
    <w:rsid w:val="00634334"/>
    <w:rsid w:val="00636B3C"/>
    <w:rsid w:val="006370EC"/>
    <w:rsid w:val="0064206B"/>
    <w:rsid w:val="0064297E"/>
    <w:rsid w:val="0064369B"/>
    <w:rsid w:val="00644B2D"/>
    <w:rsid w:val="00645F3B"/>
    <w:rsid w:val="00646484"/>
    <w:rsid w:val="0064709D"/>
    <w:rsid w:val="006504D3"/>
    <w:rsid w:val="00651D71"/>
    <w:rsid w:val="006561F6"/>
    <w:rsid w:val="0065737B"/>
    <w:rsid w:val="006578B4"/>
    <w:rsid w:val="00662979"/>
    <w:rsid w:val="00664146"/>
    <w:rsid w:val="00665FD5"/>
    <w:rsid w:val="00666AF3"/>
    <w:rsid w:val="00673488"/>
    <w:rsid w:val="00675476"/>
    <w:rsid w:val="00675B65"/>
    <w:rsid w:val="00676D5A"/>
    <w:rsid w:val="006774CC"/>
    <w:rsid w:val="00681A03"/>
    <w:rsid w:val="006829B1"/>
    <w:rsid w:val="00683A24"/>
    <w:rsid w:val="00684A9B"/>
    <w:rsid w:val="0068726F"/>
    <w:rsid w:val="00687345"/>
    <w:rsid w:val="00687468"/>
    <w:rsid w:val="00690EE2"/>
    <w:rsid w:val="00692A77"/>
    <w:rsid w:val="00693190"/>
    <w:rsid w:val="006939DC"/>
    <w:rsid w:val="006942DA"/>
    <w:rsid w:val="006978F5"/>
    <w:rsid w:val="006A053A"/>
    <w:rsid w:val="006A17C0"/>
    <w:rsid w:val="006A2EE5"/>
    <w:rsid w:val="006A4C7B"/>
    <w:rsid w:val="006A5847"/>
    <w:rsid w:val="006B0273"/>
    <w:rsid w:val="006C15F3"/>
    <w:rsid w:val="006C20E2"/>
    <w:rsid w:val="006C228B"/>
    <w:rsid w:val="006C3690"/>
    <w:rsid w:val="006C4409"/>
    <w:rsid w:val="006C4D90"/>
    <w:rsid w:val="006C5AC9"/>
    <w:rsid w:val="006C7406"/>
    <w:rsid w:val="006D12BE"/>
    <w:rsid w:val="006D26EC"/>
    <w:rsid w:val="006E128A"/>
    <w:rsid w:val="006E1FF9"/>
    <w:rsid w:val="006E2878"/>
    <w:rsid w:val="006E446C"/>
    <w:rsid w:val="006E6A16"/>
    <w:rsid w:val="006E76CF"/>
    <w:rsid w:val="006F1DD1"/>
    <w:rsid w:val="006F1EE4"/>
    <w:rsid w:val="006F6B55"/>
    <w:rsid w:val="006F762D"/>
    <w:rsid w:val="006F7C58"/>
    <w:rsid w:val="006F7D00"/>
    <w:rsid w:val="00701315"/>
    <w:rsid w:val="00702821"/>
    <w:rsid w:val="00706BC2"/>
    <w:rsid w:val="0070787C"/>
    <w:rsid w:val="00710101"/>
    <w:rsid w:val="00712C10"/>
    <w:rsid w:val="007158FC"/>
    <w:rsid w:val="00715CB2"/>
    <w:rsid w:val="00715DCA"/>
    <w:rsid w:val="00716122"/>
    <w:rsid w:val="00720297"/>
    <w:rsid w:val="00722646"/>
    <w:rsid w:val="00723771"/>
    <w:rsid w:val="00730D12"/>
    <w:rsid w:val="007310BD"/>
    <w:rsid w:val="00732805"/>
    <w:rsid w:val="00735A83"/>
    <w:rsid w:val="00740355"/>
    <w:rsid w:val="00740D4D"/>
    <w:rsid w:val="00742407"/>
    <w:rsid w:val="007443DF"/>
    <w:rsid w:val="00744711"/>
    <w:rsid w:val="00744A67"/>
    <w:rsid w:val="00746E64"/>
    <w:rsid w:val="007471C3"/>
    <w:rsid w:val="00751980"/>
    <w:rsid w:val="00751CBD"/>
    <w:rsid w:val="00752DF1"/>
    <w:rsid w:val="00753B90"/>
    <w:rsid w:val="00754C0A"/>
    <w:rsid w:val="00755614"/>
    <w:rsid w:val="00756153"/>
    <w:rsid w:val="00756DF2"/>
    <w:rsid w:val="00757243"/>
    <w:rsid w:val="007626C1"/>
    <w:rsid w:val="00766071"/>
    <w:rsid w:val="00773B78"/>
    <w:rsid w:val="0077424E"/>
    <w:rsid w:val="00774F00"/>
    <w:rsid w:val="007754DC"/>
    <w:rsid w:val="00777DB8"/>
    <w:rsid w:val="00781B1F"/>
    <w:rsid w:val="007821E0"/>
    <w:rsid w:val="00785141"/>
    <w:rsid w:val="00785405"/>
    <w:rsid w:val="00791761"/>
    <w:rsid w:val="00793053"/>
    <w:rsid w:val="0079470C"/>
    <w:rsid w:val="00794D14"/>
    <w:rsid w:val="00797479"/>
    <w:rsid w:val="007A0242"/>
    <w:rsid w:val="007A2116"/>
    <w:rsid w:val="007A2AAE"/>
    <w:rsid w:val="007A3761"/>
    <w:rsid w:val="007A445B"/>
    <w:rsid w:val="007A7BB3"/>
    <w:rsid w:val="007B02F4"/>
    <w:rsid w:val="007B1896"/>
    <w:rsid w:val="007B2126"/>
    <w:rsid w:val="007B2C2C"/>
    <w:rsid w:val="007B51CB"/>
    <w:rsid w:val="007B5536"/>
    <w:rsid w:val="007B733D"/>
    <w:rsid w:val="007C08FA"/>
    <w:rsid w:val="007C0F40"/>
    <w:rsid w:val="007C1012"/>
    <w:rsid w:val="007C1B33"/>
    <w:rsid w:val="007C1CE0"/>
    <w:rsid w:val="007C2556"/>
    <w:rsid w:val="007C2F3C"/>
    <w:rsid w:val="007C50DA"/>
    <w:rsid w:val="007C56EB"/>
    <w:rsid w:val="007D1225"/>
    <w:rsid w:val="007D4199"/>
    <w:rsid w:val="007D69DF"/>
    <w:rsid w:val="007E1456"/>
    <w:rsid w:val="007E231D"/>
    <w:rsid w:val="007E37A2"/>
    <w:rsid w:val="007E72FF"/>
    <w:rsid w:val="007F1164"/>
    <w:rsid w:val="007F216A"/>
    <w:rsid w:val="007F3AE7"/>
    <w:rsid w:val="007F60BC"/>
    <w:rsid w:val="007F7E55"/>
    <w:rsid w:val="00806B57"/>
    <w:rsid w:val="00811093"/>
    <w:rsid w:val="008121C2"/>
    <w:rsid w:val="00817CF4"/>
    <w:rsid w:val="00817ECD"/>
    <w:rsid w:val="00817F31"/>
    <w:rsid w:val="00820286"/>
    <w:rsid w:val="00821C19"/>
    <w:rsid w:val="00830C43"/>
    <w:rsid w:val="00832C0E"/>
    <w:rsid w:val="00832EFC"/>
    <w:rsid w:val="0083392D"/>
    <w:rsid w:val="00844620"/>
    <w:rsid w:val="008451C5"/>
    <w:rsid w:val="00852EEE"/>
    <w:rsid w:val="008543B7"/>
    <w:rsid w:val="00857820"/>
    <w:rsid w:val="00860ACD"/>
    <w:rsid w:val="00863A18"/>
    <w:rsid w:val="00863E69"/>
    <w:rsid w:val="00864865"/>
    <w:rsid w:val="00864D28"/>
    <w:rsid w:val="00864D38"/>
    <w:rsid w:val="008656AB"/>
    <w:rsid w:val="008670AB"/>
    <w:rsid w:val="00872AA6"/>
    <w:rsid w:val="008738D0"/>
    <w:rsid w:val="00874C17"/>
    <w:rsid w:val="0087536E"/>
    <w:rsid w:val="00877ACB"/>
    <w:rsid w:val="00880E9E"/>
    <w:rsid w:val="0088149C"/>
    <w:rsid w:val="0088389D"/>
    <w:rsid w:val="00885350"/>
    <w:rsid w:val="008863DE"/>
    <w:rsid w:val="00886A87"/>
    <w:rsid w:val="00890EDE"/>
    <w:rsid w:val="00895139"/>
    <w:rsid w:val="00897200"/>
    <w:rsid w:val="008A33AF"/>
    <w:rsid w:val="008A3EF7"/>
    <w:rsid w:val="008A58E9"/>
    <w:rsid w:val="008B0731"/>
    <w:rsid w:val="008B1C2B"/>
    <w:rsid w:val="008B778A"/>
    <w:rsid w:val="008B77FB"/>
    <w:rsid w:val="008C073B"/>
    <w:rsid w:val="008C354A"/>
    <w:rsid w:val="008C3A92"/>
    <w:rsid w:val="008C581B"/>
    <w:rsid w:val="008D1B40"/>
    <w:rsid w:val="008D210C"/>
    <w:rsid w:val="008D72EC"/>
    <w:rsid w:val="008D7BB2"/>
    <w:rsid w:val="008E17BC"/>
    <w:rsid w:val="008E2FDB"/>
    <w:rsid w:val="008E415B"/>
    <w:rsid w:val="008E69F9"/>
    <w:rsid w:val="008F38D4"/>
    <w:rsid w:val="008F641D"/>
    <w:rsid w:val="009007AB"/>
    <w:rsid w:val="00903ABF"/>
    <w:rsid w:val="009066FA"/>
    <w:rsid w:val="00907BB7"/>
    <w:rsid w:val="0091126A"/>
    <w:rsid w:val="00912CB7"/>
    <w:rsid w:val="00917F29"/>
    <w:rsid w:val="00921881"/>
    <w:rsid w:val="00921FC0"/>
    <w:rsid w:val="00922283"/>
    <w:rsid w:val="009225AD"/>
    <w:rsid w:val="00923337"/>
    <w:rsid w:val="009249B3"/>
    <w:rsid w:val="00925475"/>
    <w:rsid w:val="00925DED"/>
    <w:rsid w:val="00927BF5"/>
    <w:rsid w:val="009349D2"/>
    <w:rsid w:val="0093518F"/>
    <w:rsid w:val="00944880"/>
    <w:rsid w:val="00946274"/>
    <w:rsid w:val="0095248E"/>
    <w:rsid w:val="00956157"/>
    <w:rsid w:val="00957E78"/>
    <w:rsid w:val="009604E4"/>
    <w:rsid w:val="00961573"/>
    <w:rsid w:val="009617DA"/>
    <w:rsid w:val="00962738"/>
    <w:rsid w:val="009638E2"/>
    <w:rsid w:val="009672F9"/>
    <w:rsid w:val="00977AA4"/>
    <w:rsid w:val="0098217C"/>
    <w:rsid w:val="00982712"/>
    <w:rsid w:val="00983CA5"/>
    <w:rsid w:val="00986C73"/>
    <w:rsid w:val="009918EB"/>
    <w:rsid w:val="009958CD"/>
    <w:rsid w:val="009976BD"/>
    <w:rsid w:val="009A0206"/>
    <w:rsid w:val="009A2E98"/>
    <w:rsid w:val="009A387F"/>
    <w:rsid w:val="009A3B68"/>
    <w:rsid w:val="009A4140"/>
    <w:rsid w:val="009A69A7"/>
    <w:rsid w:val="009B0A0F"/>
    <w:rsid w:val="009B181B"/>
    <w:rsid w:val="009B2A2E"/>
    <w:rsid w:val="009B4DF7"/>
    <w:rsid w:val="009C1449"/>
    <w:rsid w:val="009C1FC3"/>
    <w:rsid w:val="009C45EB"/>
    <w:rsid w:val="009C475B"/>
    <w:rsid w:val="009C5808"/>
    <w:rsid w:val="009C7474"/>
    <w:rsid w:val="009C784E"/>
    <w:rsid w:val="009D151E"/>
    <w:rsid w:val="009D4869"/>
    <w:rsid w:val="009D51ED"/>
    <w:rsid w:val="009D5C65"/>
    <w:rsid w:val="009D6A3D"/>
    <w:rsid w:val="009E082B"/>
    <w:rsid w:val="009E0971"/>
    <w:rsid w:val="009E1B37"/>
    <w:rsid w:val="009E4AA1"/>
    <w:rsid w:val="009E6208"/>
    <w:rsid w:val="009E7D10"/>
    <w:rsid w:val="009F156C"/>
    <w:rsid w:val="009F2929"/>
    <w:rsid w:val="009F35A5"/>
    <w:rsid w:val="00A0279D"/>
    <w:rsid w:val="00A03E2C"/>
    <w:rsid w:val="00A14572"/>
    <w:rsid w:val="00A14FF5"/>
    <w:rsid w:val="00A15048"/>
    <w:rsid w:val="00A2135F"/>
    <w:rsid w:val="00A21FD1"/>
    <w:rsid w:val="00A22A47"/>
    <w:rsid w:val="00A23024"/>
    <w:rsid w:val="00A23586"/>
    <w:rsid w:val="00A239F3"/>
    <w:rsid w:val="00A23AED"/>
    <w:rsid w:val="00A25A86"/>
    <w:rsid w:val="00A25DCD"/>
    <w:rsid w:val="00A313EC"/>
    <w:rsid w:val="00A33038"/>
    <w:rsid w:val="00A335E3"/>
    <w:rsid w:val="00A34F47"/>
    <w:rsid w:val="00A400E7"/>
    <w:rsid w:val="00A419B4"/>
    <w:rsid w:val="00A42732"/>
    <w:rsid w:val="00A449D9"/>
    <w:rsid w:val="00A44A1B"/>
    <w:rsid w:val="00A45A3F"/>
    <w:rsid w:val="00A51F19"/>
    <w:rsid w:val="00A5535E"/>
    <w:rsid w:val="00A60D7D"/>
    <w:rsid w:val="00A629F2"/>
    <w:rsid w:val="00A63749"/>
    <w:rsid w:val="00A65799"/>
    <w:rsid w:val="00A65911"/>
    <w:rsid w:val="00A66061"/>
    <w:rsid w:val="00A668A3"/>
    <w:rsid w:val="00A679A5"/>
    <w:rsid w:val="00A67C38"/>
    <w:rsid w:val="00A70A88"/>
    <w:rsid w:val="00A81587"/>
    <w:rsid w:val="00A85088"/>
    <w:rsid w:val="00A87A16"/>
    <w:rsid w:val="00A909DD"/>
    <w:rsid w:val="00A93060"/>
    <w:rsid w:val="00A9402E"/>
    <w:rsid w:val="00A95720"/>
    <w:rsid w:val="00A97BAC"/>
    <w:rsid w:val="00AA4FAB"/>
    <w:rsid w:val="00AA7AA9"/>
    <w:rsid w:val="00AB1BB0"/>
    <w:rsid w:val="00AB2D03"/>
    <w:rsid w:val="00AB31C4"/>
    <w:rsid w:val="00AB327A"/>
    <w:rsid w:val="00AB754F"/>
    <w:rsid w:val="00AC097D"/>
    <w:rsid w:val="00AC4E04"/>
    <w:rsid w:val="00AC5C36"/>
    <w:rsid w:val="00AD13C0"/>
    <w:rsid w:val="00AD30A3"/>
    <w:rsid w:val="00AD49D9"/>
    <w:rsid w:val="00AD55BD"/>
    <w:rsid w:val="00AD5C52"/>
    <w:rsid w:val="00AD7B95"/>
    <w:rsid w:val="00AE1AE7"/>
    <w:rsid w:val="00AE7B92"/>
    <w:rsid w:val="00AE7CB8"/>
    <w:rsid w:val="00AF296D"/>
    <w:rsid w:val="00AF3E12"/>
    <w:rsid w:val="00AF4A8A"/>
    <w:rsid w:val="00AF57FD"/>
    <w:rsid w:val="00AF5ABB"/>
    <w:rsid w:val="00AF74D7"/>
    <w:rsid w:val="00AF7707"/>
    <w:rsid w:val="00B0241B"/>
    <w:rsid w:val="00B043B2"/>
    <w:rsid w:val="00B062EF"/>
    <w:rsid w:val="00B06A54"/>
    <w:rsid w:val="00B075A4"/>
    <w:rsid w:val="00B07936"/>
    <w:rsid w:val="00B14625"/>
    <w:rsid w:val="00B15875"/>
    <w:rsid w:val="00B231F9"/>
    <w:rsid w:val="00B23276"/>
    <w:rsid w:val="00B25E26"/>
    <w:rsid w:val="00B32180"/>
    <w:rsid w:val="00B3271A"/>
    <w:rsid w:val="00B34930"/>
    <w:rsid w:val="00B3606A"/>
    <w:rsid w:val="00B367FE"/>
    <w:rsid w:val="00B368EB"/>
    <w:rsid w:val="00B42BF7"/>
    <w:rsid w:val="00B4315D"/>
    <w:rsid w:val="00B45378"/>
    <w:rsid w:val="00B470E2"/>
    <w:rsid w:val="00B50301"/>
    <w:rsid w:val="00B53AB1"/>
    <w:rsid w:val="00B55E9A"/>
    <w:rsid w:val="00B57F16"/>
    <w:rsid w:val="00B60D87"/>
    <w:rsid w:val="00B6704B"/>
    <w:rsid w:val="00B73C32"/>
    <w:rsid w:val="00B75C43"/>
    <w:rsid w:val="00B769D2"/>
    <w:rsid w:val="00B815EE"/>
    <w:rsid w:val="00B83290"/>
    <w:rsid w:val="00B8414F"/>
    <w:rsid w:val="00B864DC"/>
    <w:rsid w:val="00B86D2A"/>
    <w:rsid w:val="00B86F0B"/>
    <w:rsid w:val="00B92C84"/>
    <w:rsid w:val="00B92E21"/>
    <w:rsid w:val="00B93B01"/>
    <w:rsid w:val="00BA0B91"/>
    <w:rsid w:val="00BA11CF"/>
    <w:rsid w:val="00BA14AA"/>
    <w:rsid w:val="00BA4DF9"/>
    <w:rsid w:val="00BA52D3"/>
    <w:rsid w:val="00BA65F1"/>
    <w:rsid w:val="00BA6824"/>
    <w:rsid w:val="00BA6B89"/>
    <w:rsid w:val="00BB3C81"/>
    <w:rsid w:val="00BB7F42"/>
    <w:rsid w:val="00BC0530"/>
    <w:rsid w:val="00BC07B0"/>
    <w:rsid w:val="00BC0C60"/>
    <w:rsid w:val="00BC1809"/>
    <w:rsid w:val="00BC2E03"/>
    <w:rsid w:val="00BC50F9"/>
    <w:rsid w:val="00BC6BED"/>
    <w:rsid w:val="00BD0E72"/>
    <w:rsid w:val="00BD2D23"/>
    <w:rsid w:val="00BE0024"/>
    <w:rsid w:val="00BE2E86"/>
    <w:rsid w:val="00BE4827"/>
    <w:rsid w:val="00BE557D"/>
    <w:rsid w:val="00BE745C"/>
    <w:rsid w:val="00BE7BBC"/>
    <w:rsid w:val="00BF05E0"/>
    <w:rsid w:val="00BF079E"/>
    <w:rsid w:val="00BF0FBF"/>
    <w:rsid w:val="00BF2D95"/>
    <w:rsid w:val="00BF43A9"/>
    <w:rsid w:val="00BF59F0"/>
    <w:rsid w:val="00BF607A"/>
    <w:rsid w:val="00BF6C3A"/>
    <w:rsid w:val="00C007DC"/>
    <w:rsid w:val="00C00A8C"/>
    <w:rsid w:val="00C03D7A"/>
    <w:rsid w:val="00C0576E"/>
    <w:rsid w:val="00C065DE"/>
    <w:rsid w:val="00C072FA"/>
    <w:rsid w:val="00C15C8A"/>
    <w:rsid w:val="00C17B4A"/>
    <w:rsid w:val="00C202FF"/>
    <w:rsid w:val="00C230C8"/>
    <w:rsid w:val="00C25B4F"/>
    <w:rsid w:val="00C33A29"/>
    <w:rsid w:val="00C33FE6"/>
    <w:rsid w:val="00C37456"/>
    <w:rsid w:val="00C40804"/>
    <w:rsid w:val="00C41180"/>
    <w:rsid w:val="00C44B37"/>
    <w:rsid w:val="00C44E90"/>
    <w:rsid w:val="00C454A2"/>
    <w:rsid w:val="00C462E0"/>
    <w:rsid w:val="00C479CB"/>
    <w:rsid w:val="00C54C9B"/>
    <w:rsid w:val="00C562A5"/>
    <w:rsid w:val="00C567EA"/>
    <w:rsid w:val="00C56A20"/>
    <w:rsid w:val="00C57EF3"/>
    <w:rsid w:val="00C61542"/>
    <w:rsid w:val="00C70AF8"/>
    <w:rsid w:val="00C73C18"/>
    <w:rsid w:val="00C74E0F"/>
    <w:rsid w:val="00C763C5"/>
    <w:rsid w:val="00C83DA5"/>
    <w:rsid w:val="00C906B1"/>
    <w:rsid w:val="00C90B67"/>
    <w:rsid w:val="00C90D93"/>
    <w:rsid w:val="00C91768"/>
    <w:rsid w:val="00C9266E"/>
    <w:rsid w:val="00C95F51"/>
    <w:rsid w:val="00CA07FC"/>
    <w:rsid w:val="00CA098A"/>
    <w:rsid w:val="00CA1862"/>
    <w:rsid w:val="00CA2478"/>
    <w:rsid w:val="00CA324C"/>
    <w:rsid w:val="00CA40CD"/>
    <w:rsid w:val="00CA7039"/>
    <w:rsid w:val="00CB23FF"/>
    <w:rsid w:val="00CB5BBB"/>
    <w:rsid w:val="00CB64C0"/>
    <w:rsid w:val="00CC0CDB"/>
    <w:rsid w:val="00CC31D8"/>
    <w:rsid w:val="00CC6F2E"/>
    <w:rsid w:val="00CC70FF"/>
    <w:rsid w:val="00CC727A"/>
    <w:rsid w:val="00CC7CAD"/>
    <w:rsid w:val="00CD1A3F"/>
    <w:rsid w:val="00CD2DE3"/>
    <w:rsid w:val="00CD4504"/>
    <w:rsid w:val="00CD5324"/>
    <w:rsid w:val="00CD5405"/>
    <w:rsid w:val="00CD6120"/>
    <w:rsid w:val="00CD61C4"/>
    <w:rsid w:val="00CD6A85"/>
    <w:rsid w:val="00CE2413"/>
    <w:rsid w:val="00CE25A7"/>
    <w:rsid w:val="00CE4895"/>
    <w:rsid w:val="00CE5B31"/>
    <w:rsid w:val="00CE6C2C"/>
    <w:rsid w:val="00CE7039"/>
    <w:rsid w:val="00CE7398"/>
    <w:rsid w:val="00CF04B8"/>
    <w:rsid w:val="00CF31BD"/>
    <w:rsid w:val="00CF43B7"/>
    <w:rsid w:val="00CF52CF"/>
    <w:rsid w:val="00CF5CF7"/>
    <w:rsid w:val="00CF63E6"/>
    <w:rsid w:val="00CF65B0"/>
    <w:rsid w:val="00D02CC1"/>
    <w:rsid w:val="00D06080"/>
    <w:rsid w:val="00D0705B"/>
    <w:rsid w:val="00D07CB8"/>
    <w:rsid w:val="00D07CBB"/>
    <w:rsid w:val="00D113F9"/>
    <w:rsid w:val="00D13238"/>
    <w:rsid w:val="00D15769"/>
    <w:rsid w:val="00D16CF9"/>
    <w:rsid w:val="00D20CA6"/>
    <w:rsid w:val="00D24691"/>
    <w:rsid w:val="00D2560A"/>
    <w:rsid w:val="00D25E4B"/>
    <w:rsid w:val="00D2606D"/>
    <w:rsid w:val="00D34B1E"/>
    <w:rsid w:val="00D3753D"/>
    <w:rsid w:val="00D437A8"/>
    <w:rsid w:val="00D45162"/>
    <w:rsid w:val="00D458C7"/>
    <w:rsid w:val="00D45C9F"/>
    <w:rsid w:val="00D51E19"/>
    <w:rsid w:val="00D53F4D"/>
    <w:rsid w:val="00D55EEB"/>
    <w:rsid w:val="00D570D3"/>
    <w:rsid w:val="00D57BE8"/>
    <w:rsid w:val="00D6439A"/>
    <w:rsid w:val="00D65A50"/>
    <w:rsid w:val="00D66EA4"/>
    <w:rsid w:val="00D74637"/>
    <w:rsid w:val="00D75243"/>
    <w:rsid w:val="00D81246"/>
    <w:rsid w:val="00D81E58"/>
    <w:rsid w:val="00D82C25"/>
    <w:rsid w:val="00D831C3"/>
    <w:rsid w:val="00D83667"/>
    <w:rsid w:val="00D83C18"/>
    <w:rsid w:val="00D84D85"/>
    <w:rsid w:val="00D85123"/>
    <w:rsid w:val="00D859BA"/>
    <w:rsid w:val="00D85A7A"/>
    <w:rsid w:val="00D870B0"/>
    <w:rsid w:val="00D92636"/>
    <w:rsid w:val="00D92A31"/>
    <w:rsid w:val="00D93073"/>
    <w:rsid w:val="00D945A9"/>
    <w:rsid w:val="00D9621B"/>
    <w:rsid w:val="00D968E6"/>
    <w:rsid w:val="00D96F8F"/>
    <w:rsid w:val="00D9761B"/>
    <w:rsid w:val="00D97D88"/>
    <w:rsid w:val="00DA1BEA"/>
    <w:rsid w:val="00DA3591"/>
    <w:rsid w:val="00DA4509"/>
    <w:rsid w:val="00DA4A3B"/>
    <w:rsid w:val="00DA52A5"/>
    <w:rsid w:val="00DA69E3"/>
    <w:rsid w:val="00DB097A"/>
    <w:rsid w:val="00DB4DB7"/>
    <w:rsid w:val="00DB5C31"/>
    <w:rsid w:val="00DB65E0"/>
    <w:rsid w:val="00DC10CB"/>
    <w:rsid w:val="00DC1C6A"/>
    <w:rsid w:val="00DC3B2C"/>
    <w:rsid w:val="00DC6891"/>
    <w:rsid w:val="00DD0068"/>
    <w:rsid w:val="00DD0F1E"/>
    <w:rsid w:val="00DD34EB"/>
    <w:rsid w:val="00DD4F28"/>
    <w:rsid w:val="00DD5144"/>
    <w:rsid w:val="00DD6323"/>
    <w:rsid w:val="00DD6468"/>
    <w:rsid w:val="00DE0CBB"/>
    <w:rsid w:val="00DE366A"/>
    <w:rsid w:val="00DE4DA2"/>
    <w:rsid w:val="00DF04A4"/>
    <w:rsid w:val="00DF47E7"/>
    <w:rsid w:val="00DF5792"/>
    <w:rsid w:val="00DF6ACC"/>
    <w:rsid w:val="00E006A3"/>
    <w:rsid w:val="00E010C1"/>
    <w:rsid w:val="00E0303A"/>
    <w:rsid w:val="00E05242"/>
    <w:rsid w:val="00E125B5"/>
    <w:rsid w:val="00E13BF9"/>
    <w:rsid w:val="00E1474E"/>
    <w:rsid w:val="00E21D61"/>
    <w:rsid w:val="00E23994"/>
    <w:rsid w:val="00E244EE"/>
    <w:rsid w:val="00E2595A"/>
    <w:rsid w:val="00E358C2"/>
    <w:rsid w:val="00E371D9"/>
    <w:rsid w:val="00E41EE4"/>
    <w:rsid w:val="00E4576E"/>
    <w:rsid w:val="00E4617D"/>
    <w:rsid w:val="00E4732A"/>
    <w:rsid w:val="00E47475"/>
    <w:rsid w:val="00E47BFA"/>
    <w:rsid w:val="00E509D0"/>
    <w:rsid w:val="00E50B6A"/>
    <w:rsid w:val="00E51150"/>
    <w:rsid w:val="00E52753"/>
    <w:rsid w:val="00E557D8"/>
    <w:rsid w:val="00E5749A"/>
    <w:rsid w:val="00E62AB6"/>
    <w:rsid w:val="00E63F35"/>
    <w:rsid w:val="00E66F68"/>
    <w:rsid w:val="00E7037E"/>
    <w:rsid w:val="00E71198"/>
    <w:rsid w:val="00E7301B"/>
    <w:rsid w:val="00E865F6"/>
    <w:rsid w:val="00E86C43"/>
    <w:rsid w:val="00E90857"/>
    <w:rsid w:val="00E92686"/>
    <w:rsid w:val="00E95934"/>
    <w:rsid w:val="00E96AE5"/>
    <w:rsid w:val="00E97A68"/>
    <w:rsid w:val="00E97F9F"/>
    <w:rsid w:val="00EA07EA"/>
    <w:rsid w:val="00EA2064"/>
    <w:rsid w:val="00EA66E3"/>
    <w:rsid w:val="00EA6F0C"/>
    <w:rsid w:val="00EA7A05"/>
    <w:rsid w:val="00EA7E3E"/>
    <w:rsid w:val="00EB27E9"/>
    <w:rsid w:val="00EB2C2E"/>
    <w:rsid w:val="00EB2C36"/>
    <w:rsid w:val="00EB56FF"/>
    <w:rsid w:val="00EB5B9F"/>
    <w:rsid w:val="00EB7D6C"/>
    <w:rsid w:val="00EC6B9B"/>
    <w:rsid w:val="00ED0BCC"/>
    <w:rsid w:val="00ED1D8F"/>
    <w:rsid w:val="00ED4C18"/>
    <w:rsid w:val="00ED5FF2"/>
    <w:rsid w:val="00ED7A80"/>
    <w:rsid w:val="00ED7C36"/>
    <w:rsid w:val="00EE606D"/>
    <w:rsid w:val="00EF241D"/>
    <w:rsid w:val="00EF301D"/>
    <w:rsid w:val="00EF3929"/>
    <w:rsid w:val="00F00CA4"/>
    <w:rsid w:val="00F01D75"/>
    <w:rsid w:val="00F029DD"/>
    <w:rsid w:val="00F053EE"/>
    <w:rsid w:val="00F07336"/>
    <w:rsid w:val="00F11DC0"/>
    <w:rsid w:val="00F1281E"/>
    <w:rsid w:val="00F15F16"/>
    <w:rsid w:val="00F20E4E"/>
    <w:rsid w:val="00F23C2A"/>
    <w:rsid w:val="00F245D5"/>
    <w:rsid w:val="00F255BF"/>
    <w:rsid w:val="00F271C1"/>
    <w:rsid w:val="00F452F0"/>
    <w:rsid w:val="00F45EC9"/>
    <w:rsid w:val="00F50AC0"/>
    <w:rsid w:val="00F510C5"/>
    <w:rsid w:val="00F5252F"/>
    <w:rsid w:val="00F572DE"/>
    <w:rsid w:val="00F57760"/>
    <w:rsid w:val="00F609A0"/>
    <w:rsid w:val="00F62490"/>
    <w:rsid w:val="00F64E87"/>
    <w:rsid w:val="00F656D0"/>
    <w:rsid w:val="00F66276"/>
    <w:rsid w:val="00F67C82"/>
    <w:rsid w:val="00F67DAF"/>
    <w:rsid w:val="00F715BD"/>
    <w:rsid w:val="00F80DB3"/>
    <w:rsid w:val="00F81322"/>
    <w:rsid w:val="00F81360"/>
    <w:rsid w:val="00F85A01"/>
    <w:rsid w:val="00F85D11"/>
    <w:rsid w:val="00F87A7A"/>
    <w:rsid w:val="00F94F88"/>
    <w:rsid w:val="00F9647F"/>
    <w:rsid w:val="00FA0143"/>
    <w:rsid w:val="00FA4469"/>
    <w:rsid w:val="00FB1370"/>
    <w:rsid w:val="00FB72E2"/>
    <w:rsid w:val="00FC0E9D"/>
    <w:rsid w:val="00FC3AD1"/>
    <w:rsid w:val="00FC6173"/>
    <w:rsid w:val="00FC6B09"/>
    <w:rsid w:val="00FC70E7"/>
    <w:rsid w:val="00FD20F9"/>
    <w:rsid w:val="00FD2285"/>
    <w:rsid w:val="00FD468F"/>
    <w:rsid w:val="00FD52B4"/>
    <w:rsid w:val="00FD62D2"/>
    <w:rsid w:val="00FD636D"/>
    <w:rsid w:val="00FD7425"/>
    <w:rsid w:val="00FE0F9C"/>
    <w:rsid w:val="00FE4F31"/>
    <w:rsid w:val="00FE7857"/>
    <w:rsid w:val="00FF1AA6"/>
    <w:rsid w:val="00FF2590"/>
    <w:rsid w:val="00FF4799"/>
    <w:rsid w:val="00FF57FD"/>
    <w:rsid w:val="00FF642C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5133D9D"/>
  <w15:chartTrackingRefBased/>
  <w15:docId w15:val="{0E0BEA36-D0D9-42E7-8E01-52397768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5C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62AB6"/>
    <w:pPr>
      <w:spacing w:after="160"/>
      <w:outlineLvl w:val="0"/>
    </w:pPr>
    <w:rPr>
      <w:rFonts w:ascii="Arial Narrow" w:hAnsi="Arial Narrow"/>
      <w:color w:val="C00000"/>
      <w:spacing w:val="30"/>
      <w:sz w:val="48"/>
      <w:szCs w:val="48"/>
    </w:rPr>
  </w:style>
  <w:style w:type="paragraph" w:styleId="Heading2">
    <w:name w:val="heading 2"/>
    <w:basedOn w:val="Heading-2"/>
    <w:next w:val="Normal"/>
    <w:link w:val="Heading2Char"/>
    <w:uiPriority w:val="9"/>
    <w:unhideWhenUsed/>
    <w:qFormat/>
    <w:rsid w:val="00CD6A85"/>
    <w:pPr>
      <w:keepNext/>
      <w:keepLines/>
      <w:ind w:left="0"/>
      <w:outlineLvl w:val="1"/>
    </w:pPr>
    <w:rPr>
      <w:rFonts w:eastAsiaTheme="majorEastAsia" w:cstheme="majorBidi"/>
      <w:color w:val="171717" w:themeColor="background2" w:themeShade="1A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0576E"/>
    <w:pPr>
      <w:keepNext/>
      <w:keepLines/>
      <w:contextualSpacing/>
      <w:outlineLvl w:val="2"/>
    </w:pPr>
    <w:rPr>
      <w:rFonts w:ascii="Helvetica 65 Medium" w:eastAsiaTheme="majorEastAsia" w:hAnsi="Helvetica 65 Medium" w:cstheme="majorBidi"/>
      <w:color w:val="171717" w:themeColor="background2" w:themeShade="1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21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4D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5A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85A7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C50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50DA"/>
  </w:style>
  <w:style w:type="paragraph" w:styleId="Footer">
    <w:name w:val="footer"/>
    <w:basedOn w:val="Normal"/>
    <w:link w:val="FooterChar"/>
    <w:uiPriority w:val="99"/>
    <w:unhideWhenUsed/>
    <w:rsid w:val="007C50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50DA"/>
  </w:style>
  <w:style w:type="paragraph" w:styleId="NoSpacing">
    <w:name w:val="No Spacing"/>
    <w:link w:val="NoSpacingChar"/>
    <w:uiPriority w:val="1"/>
    <w:qFormat/>
    <w:rsid w:val="004742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7424B"/>
    <w:rPr>
      <w:rFonts w:eastAsiaTheme="minorEastAsia"/>
    </w:rPr>
  </w:style>
  <w:style w:type="paragraph" w:customStyle="1" w:styleId="Heading-1">
    <w:name w:val="Heading - 1"/>
    <w:basedOn w:val="Normal"/>
    <w:link w:val="Heading-1Char"/>
    <w:rsid w:val="00B769D2"/>
    <w:pPr>
      <w:contextualSpacing/>
    </w:pPr>
    <w:rPr>
      <w:rFonts w:ascii="Helvetica LT Std" w:hAnsi="Helvetica LT Std"/>
      <w:color w:val="B40101"/>
      <w:sz w:val="32"/>
      <w:szCs w:val="26"/>
    </w:rPr>
  </w:style>
  <w:style w:type="character" w:customStyle="1" w:styleId="Heading-1Char">
    <w:name w:val="Heading - 1 Char"/>
    <w:basedOn w:val="DefaultParagraphFont"/>
    <w:link w:val="Heading-1"/>
    <w:rsid w:val="00B769D2"/>
    <w:rPr>
      <w:rFonts w:ascii="Helvetica LT Std" w:hAnsi="Helvetica LT Std"/>
      <w:color w:val="B40101"/>
      <w:sz w:val="32"/>
      <w:szCs w:val="26"/>
    </w:rPr>
  </w:style>
  <w:style w:type="paragraph" w:customStyle="1" w:styleId="Heading-2">
    <w:name w:val="Heading - 2"/>
    <w:basedOn w:val="Normal"/>
    <w:link w:val="Heading-2Char"/>
    <w:qFormat/>
    <w:rsid w:val="00F00CA4"/>
    <w:pPr>
      <w:ind w:left="360"/>
      <w:contextualSpacing/>
    </w:pPr>
    <w:rPr>
      <w:rFonts w:ascii="Helvetica LT Std" w:eastAsiaTheme="minorEastAsia" w:hAnsi="Helvetica LT Std"/>
      <w:color w:val="4D4D4D"/>
      <w:kern w:val="24"/>
    </w:rPr>
  </w:style>
  <w:style w:type="character" w:customStyle="1" w:styleId="Heading-2Char">
    <w:name w:val="Heading - 2 Char"/>
    <w:basedOn w:val="DefaultParagraphFont"/>
    <w:link w:val="Heading-2"/>
    <w:rsid w:val="00F00CA4"/>
    <w:rPr>
      <w:rFonts w:ascii="Helvetica LT Std" w:eastAsiaTheme="minorEastAsia" w:hAnsi="Helvetica LT Std"/>
      <w:color w:val="4D4D4D"/>
      <w:kern w:val="24"/>
    </w:rPr>
  </w:style>
  <w:style w:type="character" w:styleId="Hyperlink">
    <w:name w:val="Hyperlink"/>
    <w:basedOn w:val="DefaultParagraphFont"/>
    <w:uiPriority w:val="99"/>
    <w:unhideWhenUsed/>
    <w:rsid w:val="009225A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2AB6"/>
    <w:rPr>
      <w:rFonts w:ascii="Arial Narrow" w:hAnsi="Arial Narrow"/>
      <w:color w:val="C00000"/>
      <w:spacing w:val="3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D6A85"/>
    <w:rPr>
      <w:rFonts w:ascii="Helvetica LT Std" w:eastAsiaTheme="majorEastAsia" w:hAnsi="Helvetica LT Std" w:cstheme="majorBidi"/>
      <w:color w:val="171717" w:themeColor="background2" w:themeShade="1A"/>
      <w:kern w:val="24"/>
      <w:sz w:val="28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66276"/>
    <w:pPr>
      <w:spacing w:after="100"/>
    </w:pPr>
  </w:style>
  <w:style w:type="paragraph" w:customStyle="1" w:styleId="QSCover">
    <w:name w:val="QS Cover"/>
    <w:basedOn w:val="Heading-1"/>
    <w:link w:val="QSCoverChar"/>
    <w:qFormat/>
    <w:rsid w:val="00F66276"/>
    <w:pPr>
      <w:framePr w:hSpace="187" w:wrap="around" w:hAnchor="margin" w:xAlign="center" w:y="2881"/>
    </w:pPr>
    <w:rPr>
      <w:rFonts w:eastAsiaTheme="majorEastAsia" w:cstheme="majorBidi"/>
      <w:color w:val="000000" w:themeColor="text1"/>
      <w:sz w:val="72"/>
      <w:szCs w:val="72"/>
    </w:rPr>
  </w:style>
  <w:style w:type="paragraph" w:customStyle="1" w:styleId="Heading-1-noTOC">
    <w:name w:val="Heading - 1 - no TOC"/>
    <w:basedOn w:val="Heading-1"/>
    <w:link w:val="Heading-1-noTOCChar"/>
    <w:qFormat/>
    <w:rsid w:val="00F66276"/>
  </w:style>
  <w:style w:type="character" w:customStyle="1" w:styleId="QSCoverChar">
    <w:name w:val="QS Cover Char"/>
    <w:basedOn w:val="Heading-1Char"/>
    <w:link w:val="QSCover"/>
    <w:rsid w:val="00F66276"/>
    <w:rPr>
      <w:rFonts w:ascii="Helvetica LT Std" w:eastAsiaTheme="majorEastAsia" w:hAnsi="Helvetica LT Std" w:cstheme="majorBidi"/>
      <w:color w:val="000000" w:themeColor="text1"/>
      <w:sz w:val="72"/>
      <w:szCs w:val="72"/>
    </w:rPr>
  </w:style>
  <w:style w:type="paragraph" w:customStyle="1" w:styleId="TOCandTO-DO">
    <w:name w:val="TOC and TO-DO"/>
    <w:basedOn w:val="Heading-1-noTOC"/>
    <w:link w:val="TOCandTO-DOChar"/>
    <w:qFormat/>
    <w:rsid w:val="00E7037E"/>
    <w:rPr>
      <w:szCs w:val="32"/>
    </w:rPr>
  </w:style>
  <w:style w:type="character" w:customStyle="1" w:styleId="Heading-1-noTOCChar">
    <w:name w:val="Heading - 1 - no TOC Char"/>
    <w:basedOn w:val="Heading-1Char"/>
    <w:link w:val="Heading-1-noTOC"/>
    <w:rsid w:val="00F66276"/>
    <w:rPr>
      <w:rFonts w:ascii="Helvetica LT Std" w:hAnsi="Helvetica LT Std"/>
      <w:color w:val="B40101"/>
      <w:sz w:val="26"/>
      <w:szCs w:val="26"/>
    </w:rPr>
  </w:style>
  <w:style w:type="character" w:customStyle="1" w:styleId="TOCandTO-DOChar">
    <w:name w:val="TOC and TO-DO Char"/>
    <w:basedOn w:val="Heading-1-noTOCChar"/>
    <w:link w:val="TOCandTO-DO"/>
    <w:rsid w:val="00E7037E"/>
    <w:rPr>
      <w:rFonts w:ascii="Helvetica LT Std" w:hAnsi="Helvetica LT Std"/>
      <w:color w:val="B40101"/>
      <w:sz w:val="32"/>
      <w:szCs w:val="32"/>
    </w:rPr>
  </w:style>
  <w:style w:type="paragraph" w:customStyle="1" w:styleId="intro">
    <w:name w:val="intro"/>
    <w:basedOn w:val="Heading-1-noTOC"/>
    <w:link w:val="introChar"/>
    <w:qFormat/>
    <w:rsid w:val="00BE0024"/>
    <w:pPr>
      <w:spacing w:after="240"/>
    </w:pPr>
    <w:rPr>
      <w:sz w:val="30"/>
      <w:szCs w:val="30"/>
    </w:rPr>
  </w:style>
  <w:style w:type="character" w:customStyle="1" w:styleId="introChar">
    <w:name w:val="intro Char"/>
    <w:basedOn w:val="Heading-1-noTOCChar"/>
    <w:link w:val="intro"/>
    <w:rsid w:val="00BE0024"/>
    <w:rPr>
      <w:rFonts w:ascii="Helvetica LT Std" w:hAnsi="Helvetica LT Std"/>
      <w:color w:val="B40101"/>
      <w:sz w:val="30"/>
      <w:szCs w:val="30"/>
    </w:rPr>
  </w:style>
  <w:style w:type="paragraph" w:customStyle="1" w:styleId="Heading2-Subhead">
    <w:name w:val="Heading 2- Subhead"/>
    <w:basedOn w:val="Heading-2"/>
    <w:link w:val="Heading2-SubheadChar"/>
    <w:autoRedefine/>
    <w:qFormat/>
    <w:rsid w:val="00B470E2"/>
    <w:pPr>
      <w:ind w:left="0"/>
      <w:contextualSpacing w:val="0"/>
    </w:pPr>
    <w:rPr>
      <w:color w:val="000000" w:themeColor="text1"/>
      <w:sz w:val="28"/>
    </w:rPr>
  </w:style>
  <w:style w:type="character" w:customStyle="1" w:styleId="Heading2-SubheadChar">
    <w:name w:val="Heading 2- Subhead Char"/>
    <w:basedOn w:val="Heading-2Char"/>
    <w:link w:val="Heading2-Subhead"/>
    <w:rsid w:val="00B470E2"/>
    <w:rPr>
      <w:rFonts w:ascii="Helvetica LT Std" w:eastAsiaTheme="minorEastAsia" w:hAnsi="Helvetica LT Std"/>
      <w:color w:val="000000" w:themeColor="text1"/>
      <w:kern w:val="24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FE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40355"/>
    <w:pPr>
      <w:outlineLvl w:val="9"/>
    </w:pPr>
  </w:style>
  <w:style w:type="character" w:styleId="BookTitle">
    <w:name w:val="Book Title"/>
    <w:basedOn w:val="DefaultParagraphFont"/>
    <w:uiPriority w:val="33"/>
    <w:qFormat/>
    <w:rsid w:val="00144FA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144FA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0576E"/>
    <w:rPr>
      <w:rFonts w:ascii="Helvetica 65 Medium" w:eastAsiaTheme="majorEastAsia" w:hAnsi="Helvetica 65 Medium" w:cstheme="majorBidi"/>
      <w:color w:val="171717" w:themeColor="background2" w:themeShade="1A"/>
      <w:sz w:val="24"/>
      <w:szCs w:val="24"/>
    </w:rPr>
  </w:style>
  <w:style w:type="table" w:styleId="GridTable1Light">
    <w:name w:val="Grid Table 1 Light"/>
    <w:basedOn w:val="TableNormal"/>
    <w:uiPriority w:val="46"/>
    <w:rsid w:val="0085782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">
    <w:name w:val="Grid Table 6 Colorful"/>
    <w:basedOn w:val="TableNormal"/>
    <w:uiPriority w:val="51"/>
    <w:rsid w:val="00CE5B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4321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CA324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CA324C"/>
    <w:pPr>
      <w:spacing w:after="100"/>
      <w:ind w:left="66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55B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55BD"/>
    <w:rPr>
      <w:i/>
      <w:iCs/>
      <w:color w:val="5B9BD5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152032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187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F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F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2064"/>
    <w:pPr>
      <w:spacing w:after="0" w:line="240" w:lineRule="auto"/>
    </w:pPr>
  </w:style>
  <w:style w:type="paragraph" w:customStyle="1" w:styleId="accounttitle">
    <w:name w:val="account title"/>
    <w:basedOn w:val="Normal"/>
    <w:link w:val="accounttitleChar"/>
    <w:qFormat/>
    <w:rsid w:val="00B14625"/>
    <w:rPr>
      <w:b/>
      <w:sz w:val="24"/>
      <w:szCs w:val="24"/>
    </w:rPr>
  </w:style>
  <w:style w:type="paragraph" w:customStyle="1" w:styleId="sectionheading">
    <w:name w:val="section heading"/>
    <w:basedOn w:val="Normal"/>
    <w:link w:val="sectionheadingChar"/>
    <w:qFormat/>
    <w:rsid w:val="00B14625"/>
    <w:pPr>
      <w:spacing w:after="0"/>
    </w:pPr>
    <w:rPr>
      <w:b/>
      <w:caps/>
      <w:color w:val="F2F2F2" w:themeColor="background1" w:themeShade="F2"/>
      <w:spacing w:val="20"/>
      <w:sz w:val="24"/>
      <w:szCs w:val="24"/>
    </w:rPr>
  </w:style>
  <w:style w:type="character" w:customStyle="1" w:styleId="accounttitleChar">
    <w:name w:val="account title Char"/>
    <w:basedOn w:val="DefaultParagraphFont"/>
    <w:link w:val="accounttitle"/>
    <w:rsid w:val="00B14625"/>
    <w:rPr>
      <w:b/>
      <w:sz w:val="24"/>
      <w:szCs w:val="24"/>
    </w:rPr>
  </w:style>
  <w:style w:type="character" w:customStyle="1" w:styleId="sectionheadingChar">
    <w:name w:val="section heading Char"/>
    <w:basedOn w:val="DefaultParagraphFont"/>
    <w:link w:val="sectionheading"/>
    <w:rsid w:val="00B14625"/>
    <w:rPr>
      <w:b/>
      <w:caps/>
      <w:color w:val="F2F2F2" w:themeColor="background1" w:themeShade="F2"/>
      <w:spacing w:val="20"/>
      <w:sz w:val="24"/>
      <w:szCs w:val="24"/>
    </w:rPr>
  </w:style>
  <w:style w:type="paragraph" w:customStyle="1" w:styleId="title1">
    <w:name w:val="title 1"/>
    <w:basedOn w:val="Normal"/>
    <w:link w:val="title1Char"/>
    <w:qFormat/>
    <w:rsid w:val="00777DB8"/>
    <w:pPr>
      <w:spacing w:after="480"/>
    </w:pPr>
    <w:rPr>
      <w:rFonts w:ascii="Arial Narrow" w:eastAsia="Arial Narrow" w:hAnsi="Arial Narrow" w:cs="Arial Narrow"/>
      <w:caps/>
      <w:color w:val="828282"/>
      <w:spacing w:val="40"/>
      <w:sz w:val="36"/>
      <w:szCs w:val="36"/>
    </w:rPr>
  </w:style>
  <w:style w:type="paragraph" w:customStyle="1" w:styleId="title2">
    <w:name w:val="title2"/>
    <w:basedOn w:val="Normal"/>
    <w:link w:val="title2Char"/>
    <w:qFormat/>
    <w:rsid w:val="00777DB8"/>
    <w:rPr>
      <w:rFonts w:ascii="Arial Narrow" w:eastAsia="Arial Narrow" w:hAnsi="Arial Narrow" w:cs="Arial Narrow"/>
      <w:spacing w:val="30"/>
      <w:sz w:val="144"/>
      <w:szCs w:val="144"/>
    </w:rPr>
  </w:style>
  <w:style w:type="character" w:customStyle="1" w:styleId="title1Char">
    <w:name w:val="title 1 Char"/>
    <w:basedOn w:val="DefaultParagraphFont"/>
    <w:link w:val="title1"/>
    <w:rsid w:val="00777DB8"/>
    <w:rPr>
      <w:rFonts w:ascii="Arial Narrow" w:eastAsia="Arial Narrow" w:hAnsi="Arial Narrow" w:cs="Arial Narrow"/>
      <w:caps/>
      <w:color w:val="828282"/>
      <w:spacing w:val="40"/>
      <w:sz w:val="36"/>
      <w:szCs w:val="36"/>
    </w:rPr>
  </w:style>
  <w:style w:type="character" w:customStyle="1" w:styleId="title2Char">
    <w:name w:val="title2 Char"/>
    <w:basedOn w:val="DefaultParagraphFont"/>
    <w:link w:val="title2"/>
    <w:rsid w:val="00777DB8"/>
    <w:rPr>
      <w:rFonts w:ascii="Arial Narrow" w:eastAsia="Arial Narrow" w:hAnsi="Arial Narrow" w:cs="Arial Narrow"/>
      <w:spacing w:val="30"/>
      <w:sz w:val="144"/>
      <w:szCs w:val="144"/>
    </w:rPr>
  </w:style>
  <w:style w:type="paragraph" w:customStyle="1" w:styleId="TableHeading1">
    <w:name w:val="Table Heading 1"/>
    <w:basedOn w:val="Normal"/>
    <w:link w:val="TableHeading1Char"/>
    <w:qFormat/>
    <w:rsid w:val="002D47A5"/>
    <w:pPr>
      <w:spacing w:before="0" w:after="0" w:line="240" w:lineRule="auto"/>
      <w:jc w:val="center"/>
    </w:pPr>
    <w:rPr>
      <w:rFonts w:ascii="Helvetica LT Std" w:hAnsi="Helvetica LT Std"/>
      <w:caps/>
      <w:color w:val="4D4D4D"/>
      <w:spacing w:val="40"/>
      <w:sz w:val="24"/>
      <w:szCs w:val="24"/>
    </w:rPr>
  </w:style>
  <w:style w:type="character" w:customStyle="1" w:styleId="TableHeading1Char">
    <w:name w:val="Table Heading 1 Char"/>
    <w:basedOn w:val="DefaultParagraphFont"/>
    <w:link w:val="TableHeading1"/>
    <w:rsid w:val="002D47A5"/>
    <w:rPr>
      <w:rFonts w:ascii="Helvetica LT Std" w:hAnsi="Helvetica LT Std"/>
      <w:caps/>
      <w:color w:val="4D4D4D"/>
      <w:spacing w:val="40"/>
      <w:sz w:val="24"/>
      <w:szCs w:val="24"/>
    </w:rPr>
  </w:style>
  <w:style w:type="paragraph" w:customStyle="1" w:styleId="TableText">
    <w:name w:val="Table Text"/>
    <w:basedOn w:val="Normal"/>
    <w:link w:val="TableTextChar"/>
    <w:qFormat/>
    <w:rsid w:val="002D47A5"/>
    <w:pPr>
      <w:spacing w:before="0" w:after="0" w:line="276" w:lineRule="auto"/>
    </w:pPr>
    <w:rPr>
      <w:rFonts w:eastAsia="Times New Roman" w:cs="Arial"/>
      <w:sz w:val="24"/>
      <w:szCs w:val="24"/>
    </w:rPr>
  </w:style>
  <w:style w:type="character" w:customStyle="1" w:styleId="TableTextChar">
    <w:name w:val="Table Text Char"/>
    <w:basedOn w:val="DefaultParagraphFont"/>
    <w:link w:val="TableText"/>
    <w:rsid w:val="002D47A5"/>
    <w:rPr>
      <w:rFonts w:eastAsia="Times New Roman" w:cs="Arial"/>
      <w:sz w:val="24"/>
      <w:szCs w:val="24"/>
    </w:rPr>
  </w:style>
  <w:style w:type="paragraph" w:customStyle="1" w:styleId="slide">
    <w:name w:val="slide"/>
    <w:basedOn w:val="Normal"/>
    <w:link w:val="slideChar"/>
    <w:qFormat/>
    <w:rsid w:val="002D47A5"/>
    <w:pPr>
      <w:spacing w:before="0" w:after="0" w:line="276" w:lineRule="auto"/>
    </w:pPr>
    <w:rPr>
      <w:rFonts w:ascii="Lucida Sans Unicode" w:eastAsia="Calibri" w:hAnsi="Lucida Sans Unicode" w:cs="Lucida Sans Unicode"/>
      <w:vanish/>
      <w:color w:val="C00000"/>
      <w:sz w:val="36"/>
      <w:szCs w:val="36"/>
    </w:rPr>
  </w:style>
  <w:style w:type="character" w:customStyle="1" w:styleId="slideChar">
    <w:name w:val="slide Char"/>
    <w:basedOn w:val="DefaultParagraphFont"/>
    <w:link w:val="slide"/>
    <w:rsid w:val="002D47A5"/>
    <w:rPr>
      <w:rFonts w:ascii="Lucida Sans Unicode" w:eastAsia="Calibri" w:hAnsi="Lucida Sans Unicode" w:cs="Lucida Sans Unicode"/>
      <w:vanish/>
      <w:color w:val="C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6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9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6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1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6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3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4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7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4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782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9788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23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196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619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32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670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02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6587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361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434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82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008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935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841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005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159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553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84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461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36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67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94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28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16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93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66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87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25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61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944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48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16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14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76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87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193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wconnect.com/page/gi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kwconnect.com/page/g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wconnect.com/details/2016-03-14-56e7340a6c7dd-docx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wmcangel@kw.com" TargetMode="External"/><Relationship Id="rId10" Type="http://schemas.openxmlformats.org/officeDocument/2006/relationships/hyperlink" Target="https://www.kwmcangel.com/customer/en/portal/articles/2881472-training-tracker-t2---take-attendance-run-training-tracker-report-in-kwconnect?b_id=8713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kwconnect.com/details/cap-management" TargetMode="External"/><Relationship Id="rId14" Type="http://schemas.openxmlformats.org/officeDocument/2006/relationships/hyperlink" Target="http://www.kwconnect.com/page/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C7D8CB-26CE-4B0E-AC20-13203FA4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8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eEdge Database Quick-Start Help Guide</vt:lpstr>
    </vt:vector>
  </TitlesOfParts>
  <Company>Keller Williams Realty International</Company>
  <LinksUpToDate>false</LinksUpToDate>
  <CharactersWithSpaces>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eEdge Database Quick-Start Help Guide</dc:title>
  <dc:subject/>
  <dc:creator>Brenda Harralson</dc:creator>
  <cp:keywords/>
  <dc:description>copyedits entered 9/14/2015</dc:description>
  <cp:lastModifiedBy>Kara Young</cp:lastModifiedBy>
  <cp:revision>14</cp:revision>
  <cp:lastPrinted>2016-02-24T16:25:00Z</cp:lastPrinted>
  <dcterms:created xsi:type="dcterms:W3CDTF">2016-08-22T16:41:00Z</dcterms:created>
  <dcterms:modified xsi:type="dcterms:W3CDTF">2018-03-01T20:16:00Z</dcterms:modified>
</cp:coreProperties>
</file>